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ind w:left="425" w:right="4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ISTITUTO STATALE COMPRENSIVO </w:t>
      </w:r>
    </w:p>
    <w:p w:rsidR="00000000" w:rsidDel="00000000" w:rsidP="00000000" w:rsidRDefault="00000000" w:rsidRPr="00000000" w14:paraId="00000002">
      <w:pPr>
        <w:spacing w:line="276" w:lineRule="auto"/>
        <w:ind w:left="425" w:right="4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 Scuola dell’Infanzia, Primaria e Secondaria di 1° grado </w:t>
      </w:r>
    </w:p>
    <w:p w:rsidR="00000000" w:rsidDel="00000000" w:rsidP="00000000" w:rsidRDefault="00000000" w:rsidRPr="00000000" w14:paraId="00000003">
      <w:pPr>
        <w:spacing w:line="276" w:lineRule="auto"/>
        <w:ind w:left="425" w:right="4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S.PIETRO IN VINCOLI </w:t>
      </w:r>
    </w:p>
    <w:p w:rsidR="00000000" w:rsidDel="00000000" w:rsidP="00000000" w:rsidRDefault="00000000" w:rsidRPr="00000000" w14:paraId="00000004">
      <w:pPr>
        <w:spacing w:line="276" w:lineRule="auto"/>
        <w:ind w:left="425" w:right="42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Via Leonardo da Vinci, 8 </w:t>
      </w:r>
      <w:r w:rsidDel="00000000" w:rsidR="00000000" w:rsidRPr="00000000">
        <w:rPr>
          <w:rFonts w:ascii="Times New Roman" w:cs="Times New Roman" w:eastAsia="Times New Roman" w:hAnsi="Times New Roman"/>
          <w:sz w:val="24"/>
          <w:szCs w:val="24"/>
          <w:rtl w:val="0"/>
        </w:rPr>
        <w:t xml:space="preserve">- 48125 S.P. in Vincoli (Ravenna) </w:t>
      </w:r>
    </w:p>
    <w:p w:rsidR="00000000" w:rsidDel="00000000" w:rsidP="00000000" w:rsidRDefault="00000000" w:rsidRPr="00000000" w14:paraId="00000005">
      <w:pPr>
        <w:spacing w:line="276" w:lineRule="auto"/>
        <w:ind w:left="425" w:right="4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 scolastico 2024-2025 </w:t>
      </w:r>
    </w:p>
    <w:p w:rsidR="00000000" w:rsidDel="00000000" w:rsidP="00000000" w:rsidRDefault="00000000" w:rsidRPr="00000000" w14:paraId="00000006">
      <w:pPr>
        <w:spacing w:line="276" w:lineRule="auto"/>
        <w:ind w:left="425" w:right="423"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ind w:left="425" w:right="423"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Verbale n.4</w:t>
      </w:r>
    </w:p>
    <w:p w:rsidR="00000000" w:rsidDel="00000000" w:rsidP="00000000" w:rsidRDefault="00000000" w:rsidRPr="00000000" w14:paraId="00000008">
      <w:pPr>
        <w:spacing w:line="276" w:lineRule="auto"/>
        <w:ind w:left="425" w:right="423"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spacing w:after="0" w:before="0"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Giovedì 12 dicembre 2024 alle ore 17.15 si è riunito in seduta plenaria il Collegio dei Docenti di questo Istituto presso l’Aula Magna della Scuola Secondaria I Grado di San Pietro in Vincoli, per la trattazione dei seguenti punti all’ordine del giorno:</w:t>
      </w:r>
    </w:p>
    <w:p w:rsidR="00000000" w:rsidDel="00000000" w:rsidP="00000000" w:rsidRDefault="00000000" w:rsidRPr="00000000" w14:paraId="0000000A">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Approvazione verbale seduta precedente </w:t>
      </w:r>
    </w:p>
    <w:p w:rsidR="00000000" w:rsidDel="00000000" w:rsidP="00000000" w:rsidRDefault="00000000" w:rsidRPr="00000000" w14:paraId="0000000B">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Incontri scuola/famiglia – proposte modalità organizzative </w:t>
      </w:r>
    </w:p>
    <w:p w:rsidR="00000000" w:rsidDel="00000000" w:rsidP="00000000" w:rsidRDefault="00000000" w:rsidRPr="00000000" w14:paraId="0000000C">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Pubblicazione RAV - PDM </w:t>
      </w:r>
    </w:p>
    <w:p w:rsidR="00000000" w:rsidDel="00000000" w:rsidP="00000000" w:rsidRDefault="00000000" w:rsidRPr="00000000" w14:paraId="0000000D">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Pubblicazione PTOF 2024-2025 </w:t>
      </w:r>
    </w:p>
    <w:p w:rsidR="00000000" w:rsidDel="00000000" w:rsidP="00000000" w:rsidRDefault="00000000" w:rsidRPr="00000000" w14:paraId="0000000E">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Pubblicazione PTOF 2025-2028 </w:t>
      </w:r>
    </w:p>
    <w:p w:rsidR="00000000" w:rsidDel="00000000" w:rsidP="00000000" w:rsidRDefault="00000000" w:rsidRPr="00000000" w14:paraId="0000000F">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Nomina tutor docente neoassunto </w:t>
      </w:r>
    </w:p>
    <w:p w:rsidR="00000000" w:rsidDel="00000000" w:rsidP="00000000" w:rsidRDefault="00000000" w:rsidRPr="00000000" w14:paraId="00000010">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Criteri di deroga validità anno scolastico scuola primaria - proposta </w:t>
      </w:r>
    </w:p>
    <w:p w:rsidR="00000000" w:rsidDel="00000000" w:rsidP="00000000" w:rsidRDefault="00000000" w:rsidRPr="00000000" w14:paraId="00000011">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MIM – Nota prot. n. 6311 del 28/11/2024 – Iscrizioni on line anno scolastico 2025/2026 -  Criteri di formazione sezioni/classi </w:t>
      </w:r>
    </w:p>
    <w:p w:rsidR="00000000" w:rsidDel="00000000" w:rsidP="00000000" w:rsidRDefault="00000000" w:rsidRPr="00000000" w14:paraId="00000012">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day - modalità organizzative e calendario </w:t>
      </w:r>
    </w:p>
    <w:p w:rsidR="00000000" w:rsidDel="00000000" w:rsidP="00000000" w:rsidRDefault="00000000" w:rsidRPr="00000000" w14:paraId="00000013">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Condivisione Aggiornamento Protocollo per la gestione dei casi di Bullismo e Cyberbullismo </w:t>
      </w:r>
    </w:p>
    <w:p w:rsidR="00000000" w:rsidDel="00000000" w:rsidP="00000000" w:rsidRDefault="00000000" w:rsidRPr="00000000" w14:paraId="00000014">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Adesione Progetto Prevenzione Disagio e Benessere a scuola </w:t>
      </w:r>
    </w:p>
    <w:p w:rsidR="00000000" w:rsidDel="00000000" w:rsidP="00000000" w:rsidRDefault="00000000" w:rsidRPr="00000000" w14:paraId="00000015">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Decreto del Ministero dell’istruzione e del merito 27 maggio 2024, n. 102 - c.c. “Agenda NORD -  Calendarizzazione dei percorsi </w:t>
      </w:r>
    </w:p>
    <w:p w:rsidR="00000000" w:rsidDel="00000000" w:rsidP="00000000" w:rsidRDefault="00000000" w:rsidRPr="00000000" w14:paraId="00000016">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Integrazione al Piano delle attività funzionali all’insegnamento </w:t>
      </w:r>
    </w:p>
    <w:p w:rsidR="00000000" w:rsidDel="00000000" w:rsidP="00000000" w:rsidRDefault="00000000" w:rsidRPr="00000000" w14:paraId="00000017">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Aggiornamento Regolamento d’Istituto  </w:t>
      </w:r>
    </w:p>
    <w:p w:rsidR="00000000" w:rsidDel="00000000" w:rsidP="00000000" w:rsidRDefault="00000000" w:rsidRPr="00000000" w14:paraId="00000018">
      <w:pPr>
        <w:widowControl w:val="0"/>
        <w:numPr>
          <w:ilvl w:val="0"/>
          <w:numId w:val="1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Comunicazioni del DS  </w:t>
      </w:r>
    </w:p>
    <w:p w:rsidR="00000000" w:rsidDel="00000000" w:rsidP="00000000" w:rsidRDefault="00000000" w:rsidRPr="00000000" w14:paraId="00000019">
      <w:pPr>
        <w:spacing w:after="0" w:before="0"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Presiede la riunione il Dirigente Scolastico, Prof.ssa Pierangela Izzi; svolge le funzioni di segretario l’insegnante Guidetti Martina.</w:t>
      </w:r>
    </w:p>
    <w:p w:rsidR="00000000" w:rsidDel="00000000" w:rsidP="00000000" w:rsidRDefault="00000000" w:rsidRPr="00000000" w14:paraId="0000001B">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Risultano 123 docenti presenti, 24 docenti assenti giustificati.</w:t>
      </w:r>
    </w:p>
    <w:p w:rsidR="00000000" w:rsidDel="00000000" w:rsidP="00000000" w:rsidRDefault="00000000" w:rsidRPr="00000000" w14:paraId="0000001C">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8"/>
        </w:numPr>
        <w:spacing w:line="276" w:lineRule="auto"/>
        <w:ind w:left="0" w:right="4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Approvazione verbale seduta precedente</w:t>
      </w:r>
    </w:p>
    <w:p w:rsidR="00000000" w:rsidDel="00000000" w:rsidP="00000000" w:rsidRDefault="00000000" w:rsidRPr="00000000" w14:paraId="0000001E">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L’insegnante Sirio, referente della scuola primaria di San Zaccaria chiede di poter inserire nell’allegato dei “Progetti gratuiti” i seguenti progetti:</w:t>
      </w:r>
    </w:p>
    <w:p w:rsidR="00000000" w:rsidDel="00000000" w:rsidP="00000000" w:rsidRDefault="00000000" w:rsidRPr="00000000" w14:paraId="0000001F">
      <w:pPr>
        <w:numPr>
          <w:ilvl w:val="0"/>
          <w:numId w:val="11"/>
        </w:numPr>
        <w:spacing w:line="276" w:lineRule="auto"/>
        <w:ind w:left="720" w:right="42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“CorpoGiochi a scuola”</w:t>
      </w:r>
    </w:p>
    <w:p w:rsidR="00000000" w:rsidDel="00000000" w:rsidP="00000000" w:rsidRDefault="00000000" w:rsidRPr="00000000" w14:paraId="00000020">
      <w:pPr>
        <w:numPr>
          <w:ilvl w:val="0"/>
          <w:numId w:val="11"/>
        </w:numPr>
        <w:spacing w:line="276" w:lineRule="auto"/>
        <w:ind w:left="720" w:right="42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“Fruttagel educational” (laboratorio di ed. alimentare ed educazione ambientale)</w:t>
      </w:r>
    </w:p>
    <w:p w:rsidR="00000000" w:rsidDel="00000000" w:rsidP="00000000" w:rsidRDefault="00000000" w:rsidRPr="00000000" w14:paraId="00000021">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L’insegnante De Filippo chiede di poter inserire nell’allegato dei “Progetti gratuiti” il progetto “Divertiamoci con i numeri” per le classi 3A e 3B della scuola primaria di San Pietro in Campiano.</w:t>
      </w:r>
    </w:p>
    <w:p w:rsidR="00000000" w:rsidDel="00000000" w:rsidP="00000000" w:rsidRDefault="00000000" w:rsidRPr="00000000" w14:paraId="00000023">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L’insegnante Carrozza chiede un’integrazione per un’uscita della classe 2A della scuola secondaria di San Pietro in Vincoli:</w:t>
      </w:r>
    </w:p>
    <w:p w:rsidR="00000000" w:rsidDel="00000000" w:rsidP="00000000" w:rsidRDefault="00000000" w:rsidRPr="00000000" w14:paraId="00000025">
      <w:pPr>
        <w:numPr>
          <w:ilvl w:val="0"/>
          <w:numId w:val="4"/>
        </w:numPr>
        <w:spacing w:line="276" w:lineRule="auto"/>
        <w:ind w:left="720" w:right="42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destinazione: Rimini / Cattolica</w:t>
      </w:r>
    </w:p>
    <w:p w:rsidR="00000000" w:rsidDel="00000000" w:rsidP="00000000" w:rsidRDefault="00000000" w:rsidRPr="00000000" w14:paraId="00000026">
      <w:pPr>
        <w:numPr>
          <w:ilvl w:val="0"/>
          <w:numId w:val="4"/>
        </w:numPr>
        <w:spacing w:line="276" w:lineRule="auto"/>
        <w:ind w:left="720" w:right="42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data: 30 aprile</w:t>
      </w:r>
    </w:p>
    <w:p w:rsidR="00000000" w:rsidDel="00000000" w:rsidP="00000000" w:rsidRDefault="00000000" w:rsidRPr="00000000" w14:paraId="00000027">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L’insegnante Franceschini chiede:</w:t>
      </w:r>
    </w:p>
    <w:p w:rsidR="00000000" w:rsidDel="00000000" w:rsidP="00000000" w:rsidRDefault="00000000" w:rsidRPr="00000000" w14:paraId="00000029">
      <w:pPr>
        <w:numPr>
          <w:ilvl w:val="0"/>
          <w:numId w:val="2"/>
        </w:numPr>
        <w:spacing w:line="276" w:lineRule="auto"/>
        <w:ind w:left="720" w:right="42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 inserire l’uscita all’isola degli Spinaroni, prevista all’interno del Progetto per la resistenza, per le classi terze della scuola secondaria.</w:t>
      </w:r>
    </w:p>
    <w:p w:rsidR="00000000" w:rsidDel="00000000" w:rsidP="00000000" w:rsidRDefault="00000000" w:rsidRPr="00000000" w14:paraId="0000002A">
      <w:pPr>
        <w:numPr>
          <w:ilvl w:val="0"/>
          <w:numId w:val="2"/>
        </w:numPr>
        <w:spacing w:line="276" w:lineRule="auto"/>
        <w:ind w:left="720" w:right="42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 aggiornare la data (4 aprile) dell’uscita a Firenze per la classe 2C della scuola secondaria di San Pietro in Vincoli.</w:t>
      </w:r>
    </w:p>
    <w:p w:rsidR="00000000" w:rsidDel="00000000" w:rsidP="00000000" w:rsidRDefault="00000000" w:rsidRPr="00000000" w14:paraId="0000002B">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L’insegnante Mariani Beatrice comunica che l’uscita al Teatro Raso della scuola dell’infanzia di Filetto sarà effettuata il 7 aprile.</w:t>
      </w:r>
    </w:p>
    <w:p w:rsidR="00000000" w:rsidDel="00000000" w:rsidP="00000000" w:rsidRDefault="00000000" w:rsidRPr="00000000" w14:paraId="0000002D">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Queste integrazioni verranno inserite negli allegati del verbale precedente.</w:t>
      </w:r>
    </w:p>
    <w:p w:rsidR="00000000" w:rsidDel="00000000" w:rsidP="00000000" w:rsidRDefault="00000000" w:rsidRPr="00000000" w14:paraId="0000002F">
      <w:pPr>
        <w:spacing w:line="276" w:lineRule="auto"/>
        <w:ind w:left="0" w:right="42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76" w:lineRule="auto"/>
        <w:ind w:left="0" w:right="42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 n. 27</w:t>
      </w:r>
    </w:p>
    <w:p w:rsidR="00000000" w:rsidDel="00000000" w:rsidP="00000000" w:rsidRDefault="00000000" w:rsidRPr="00000000" w14:paraId="00000031">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docenti approva all’unanimità il verbale della seduta del 24 ottobre 2024.</w:t>
      </w:r>
    </w:p>
    <w:p w:rsidR="00000000" w:rsidDel="00000000" w:rsidP="00000000" w:rsidRDefault="00000000" w:rsidRPr="00000000" w14:paraId="00000032">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numPr>
          <w:ilvl w:val="0"/>
          <w:numId w:val="15"/>
        </w:num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Incontri scuola/famiglia – proposte modalità organizzative </w:t>
      </w:r>
    </w:p>
    <w:p w:rsidR="00000000" w:rsidDel="00000000" w:rsidP="00000000" w:rsidRDefault="00000000" w:rsidRPr="00000000" w14:paraId="00000034">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 luce della delibera del Consiglio di Istituto in data 28 ottobre 2024, premettendo che i colloqui tra docenti e genitori sono momenti fondamentali dell’attività della scuola in quanto permettono di creare una necessaria alleanza educativa che porta quindi ad un raggiungimento migliori risultati di apprendimento, e alla luce delle richieste da parte dei genitori, pervenute successivamente ai colloqui generali, il Dirigente Scolastico sottopone al Collegio quanto proposto dai genitori per quanto riguarda la modalità degli incontri individuali.</w:t>
      </w:r>
    </w:p>
    <w:p w:rsidR="00000000" w:rsidDel="00000000" w:rsidP="00000000" w:rsidRDefault="00000000" w:rsidRPr="00000000" w14:paraId="00000035">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Propongono, oltre a svolgere colloqui in presenza, di poter inserire anche modalità telematiche o telefoniche.</w:t>
      </w:r>
    </w:p>
    <w:p w:rsidR="00000000" w:rsidDel="00000000" w:rsidP="00000000" w:rsidRDefault="00000000" w:rsidRPr="00000000" w14:paraId="00000036">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prof. Vallicelli propone, oltre la modalità in presenza, la modalità telefonica con copertura del numero di telefono.</w:t>
      </w:r>
    </w:p>
    <w:p w:rsidR="00000000" w:rsidDel="00000000" w:rsidP="00000000" w:rsidRDefault="00000000" w:rsidRPr="00000000" w14:paraId="00000038">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prof.ssa Poleri propone la modalità telematiche (utilizzando la piattaforma Meet) perchè, in alcuni casi, le telefonate possono essere molto lunghe.</w:t>
      </w:r>
    </w:p>
    <w:p w:rsidR="00000000" w:rsidDel="00000000" w:rsidP="00000000" w:rsidRDefault="00000000" w:rsidRPr="00000000" w14:paraId="00000039">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prof.ssa Franceschini ricorda che le modalità sono decise dal Consiglio di Istituto su proposta del Collegio Docenti.  Si potrebbero alterare settimanalmente (o mensilmente) ricevimenti online/telefonici e in presenza.</w:t>
      </w:r>
    </w:p>
    <w:p w:rsidR="00000000" w:rsidDel="00000000" w:rsidP="00000000" w:rsidRDefault="00000000" w:rsidRPr="00000000" w14:paraId="0000003A">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 registro elettronico sarà annotato la modalità di ricevimento.</w:t>
      </w:r>
    </w:p>
    <w:p w:rsidR="00000000" w:rsidDel="00000000" w:rsidP="00000000" w:rsidRDefault="00000000" w:rsidRPr="00000000" w14:paraId="0000003B">
      <w:pPr>
        <w:widowControl w:val="0"/>
        <w:ind w:left="0" w:right="281.8110236220479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prof. Tricarico condivide che, viste le numerose classi in cui insegna, ha già prenotazioni fino ad aprile. Cambiare la modalità, in corso d’anno, sarebbe molto difficile. </w:t>
      </w:r>
    </w:p>
    <w:p w:rsidR="00000000" w:rsidDel="00000000" w:rsidP="00000000" w:rsidRDefault="00000000" w:rsidRPr="00000000" w14:paraId="0000003C">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 luce del confronto tra i docenti le proposte emerse sono:</w:t>
      </w:r>
    </w:p>
    <w:p w:rsidR="00000000" w:rsidDel="00000000" w:rsidP="00000000" w:rsidRDefault="00000000" w:rsidRPr="00000000" w14:paraId="0000003E">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proposte</w:t>
      </w:r>
    </w:p>
    <w:p w:rsidR="00000000" w:rsidDel="00000000" w:rsidP="00000000" w:rsidRDefault="00000000" w:rsidRPr="00000000" w14:paraId="0000003F">
      <w:pPr>
        <w:widowControl w:val="0"/>
        <w:numPr>
          <w:ilvl w:val="0"/>
          <w:numId w:val="13"/>
        </w:numPr>
        <w:ind w:left="72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colloqui in presenza e colloqui tramite piattaforma Google Meet </w:t>
      </w:r>
    </w:p>
    <w:p w:rsidR="00000000" w:rsidDel="00000000" w:rsidP="00000000" w:rsidRDefault="00000000" w:rsidRPr="00000000" w14:paraId="00000040">
      <w:pPr>
        <w:widowControl w:val="0"/>
        <w:numPr>
          <w:ilvl w:val="0"/>
          <w:numId w:val="13"/>
        </w:numPr>
        <w:ind w:left="72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colloqui in presenza e colloqui telefonici</w:t>
      </w:r>
    </w:p>
    <w:p w:rsidR="00000000" w:rsidDel="00000000" w:rsidP="00000000" w:rsidRDefault="00000000" w:rsidRPr="00000000" w14:paraId="00000041">
      <w:pPr>
        <w:widowControl w:val="0"/>
        <w:ind w:left="0" w:right="281.8110236220479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ind w:left="0" w:right="281.811023622047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procede all’espressione delle preferenze, tramite votazione (su un totale di 123 docenti presenti al momento della votazione):</w:t>
      </w:r>
    </w:p>
    <w:p w:rsidR="00000000" w:rsidDel="00000000" w:rsidP="00000000" w:rsidRDefault="00000000" w:rsidRPr="00000000" w14:paraId="00000043">
      <w:pPr>
        <w:widowControl w:val="0"/>
        <w:numPr>
          <w:ilvl w:val="0"/>
          <w:numId w:val="9"/>
        </w:numPr>
        <w:ind w:left="720" w:right="281.8110236220479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colloqui in presenza e colloqui tramite piattaforma Google Meet: 55 favorevoli</w:t>
      </w:r>
    </w:p>
    <w:p w:rsidR="00000000" w:rsidDel="00000000" w:rsidP="00000000" w:rsidRDefault="00000000" w:rsidRPr="00000000" w14:paraId="00000044">
      <w:pPr>
        <w:widowControl w:val="0"/>
        <w:numPr>
          <w:ilvl w:val="0"/>
          <w:numId w:val="9"/>
        </w:numPr>
        <w:ind w:left="720" w:right="281.8110236220479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colloqui in presenza e colloqui telefonici: 68 favorevoli</w:t>
      </w:r>
    </w:p>
    <w:p w:rsidR="00000000" w:rsidDel="00000000" w:rsidP="00000000" w:rsidRDefault="00000000" w:rsidRPr="00000000" w14:paraId="00000045">
      <w:pPr>
        <w:widowControl w:val="0"/>
        <w:ind w:left="0" w:right="281.8110236220479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ind w:left="0" w:right="281.811023622047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Sarà sottoposto al Consiglio di Istituto la proposta del Collegio (colloqui in presenza e colloqui telefonici); verranno, inoltre, riferite anche le criticità (collegamento internet, spazi).</w:t>
      </w:r>
    </w:p>
    <w:p w:rsidR="00000000" w:rsidDel="00000000" w:rsidP="00000000" w:rsidRDefault="00000000" w:rsidRPr="00000000" w14:paraId="00000047">
      <w:pPr>
        <w:widowControl w:val="0"/>
        <w:ind w:left="283.46456692913375" w:right="281.8110236220479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Pubblicazione RAV - PDM</w:t>
      </w:r>
    </w:p>
    <w:p w:rsidR="00000000" w:rsidDel="00000000" w:rsidP="00000000" w:rsidRDefault="00000000" w:rsidRPr="00000000" w14:paraId="00000049">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 comunica che è stato inserito in piattaforma l’aggiornamento del RAV e il Piano di Miglioramento, condiviso nel precedente Collegio Docenti.</w:t>
      </w:r>
    </w:p>
    <w:p w:rsidR="00000000" w:rsidDel="00000000" w:rsidP="00000000" w:rsidRDefault="00000000" w:rsidRPr="00000000" w14:paraId="0000004A">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Pubblicazione PTOF 2024-2025 </w:t>
      </w:r>
    </w:p>
    <w:p w:rsidR="00000000" w:rsidDel="00000000" w:rsidP="00000000" w:rsidRDefault="00000000" w:rsidRPr="00000000" w14:paraId="0000004C">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 condivide l’aggiornamento della sezione del PTOF </w:t>
      </w:r>
      <w:r w:rsidDel="00000000" w:rsidR="00000000" w:rsidRPr="00000000">
        <w:rPr>
          <w:rFonts w:ascii="Times New Roman" w:cs="Times New Roman" w:eastAsia="Times New Roman" w:hAnsi="Times New Roman"/>
          <w:sz w:val="24"/>
          <w:szCs w:val="24"/>
          <w:u w:val="single"/>
          <w:rtl w:val="0"/>
        </w:rPr>
        <w:t xml:space="preserve"> “LA SCUOLA E IL SUO CONTESTO -  Analisi del contesto e dei bisogni del territorio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ind w:left="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L'istituto Comprensivo di San Pietro in Vincoli copre una vasta area nella zona sud del Comune di Ravenna e confina con i Comuni di Forlì, Cesena, Russi e Cervia. Si estende da Filetto a San Zaccaria per circa 20 km. La connotazione prevalente del territorio, sotto il profilo produttivo, è data da una forte incidenza del settore primario, caratterizzato da agricoltura specializzata e allevamento. A questo contesto si aggiungono le attività del settore secondario, in particolar modo quelle relative alla trasformazione e alla conservazione di prodotti alimentari e quelle meccaniche di manutenzione dei macchinari. Si sono inoltre insediate strutture ricettive quali agriturismi e B&amp;B, che attraggono sia i visitatori che apprezzano il turismo rurale sia coloro che sono alla ricerca di alloggi limitrofi ai parchi divertimento del territorio. L'occupazione è caratterizzata in modo significativo dalla stagionalità e dalla pendolarità dei lavoratori verso le città di Ravenna, Forlì e Cesena. Alto è il flusso migratorio interno (fonte ISTAT). Il contesto socio-economico di provenienza degli studenti è eterogeneo. I soggetti esterni che collaborano con la scuola si individuano negli Enti locali, nei Consigli territoriali, nei Comitati cittadini, nei Comitati dei genitori, nelle Associazioni sportive e culturali, nelle associazioni per l'integrazione dei ragazzi stranieri. La scuola si impegna a promuovere un sistema formativo integrato in collaborazione con: </w:t>
      </w:r>
    </w:p>
    <w:p w:rsidR="00000000" w:rsidDel="00000000" w:rsidP="00000000" w:rsidRDefault="00000000" w:rsidRPr="00000000" w14:paraId="0000004F">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Amministrazione provinciale e comunale </w:t>
      </w:r>
    </w:p>
    <w:p w:rsidR="00000000" w:rsidDel="00000000" w:rsidP="00000000" w:rsidRDefault="00000000" w:rsidRPr="00000000" w14:paraId="00000050">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Uffici decentrati di San Pietro in Vincoli e di Roncalceci</w:t>
      </w:r>
    </w:p>
    <w:p w:rsidR="00000000" w:rsidDel="00000000" w:rsidP="00000000" w:rsidRDefault="00000000" w:rsidRPr="00000000" w14:paraId="00000051">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Casa delle Culture: collaborazioni nel campo dell'intercultura </w:t>
      </w:r>
    </w:p>
    <w:p w:rsidR="00000000" w:rsidDel="00000000" w:rsidP="00000000" w:rsidRDefault="00000000" w:rsidRPr="00000000" w14:paraId="00000052">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Servizi socio-sanitari di Ravenna e Russi </w:t>
      </w:r>
    </w:p>
    <w:p w:rsidR="00000000" w:rsidDel="00000000" w:rsidP="00000000" w:rsidRDefault="00000000" w:rsidRPr="00000000" w14:paraId="00000053">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ASL di Ravenna </w:t>
      </w:r>
    </w:p>
    <w:p w:rsidR="00000000" w:rsidDel="00000000" w:rsidP="00000000" w:rsidRDefault="00000000" w:rsidRPr="00000000" w14:paraId="00000054">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Consulta dei Ragazzi e delle Ragazze (Ravenna) </w:t>
      </w:r>
    </w:p>
    <w:p w:rsidR="00000000" w:rsidDel="00000000" w:rsidP="00000000" w:rsidRDefault="00000000" w:rsidRPr="00000000" w14:paraId="00000055">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Scuole superiori dei Comuni di Ravenna, Faenza, Cervia, Forlì e Cesena </w:t>
      </w:r>
    </w:p>
    <w:p w:rsidR="00000000" w:rsidDel="00000000" w:rsidP="00000000" w:rsidRDefault="00000000" w:rsidRPr="00000000" w14:paraId="00000056">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Istituti Scolastici di Ravenna </w:t>
      </w:r>
    </w:p>
    <w:p w:rsidR="00000000" w:rsidDel="00000000" w:rsidP="00000000" w:rsidRDefault="00000000" w:rsidRPr="00000000" w14:paraId="00000057">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Scuole dell’Infanzia parificate di San Pietro in Vincoli, San Zaccaria e San Pietro in Campiano. </w:t>
      </w:r>
    </w:p>
    <w:p w:rsidR="00000000" w:rsidDel="00000000" w:rsidP="00000000" w:rsidRDefault="00000000" w:rsidRPr="00000000" w14:paraId="00000058">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Associazioni sportive, culturali e di volontariato presenti nel territorio </w:t>
      </w:r>
    </w:p>
    <w:p w:rsidR="00000000" w:rsidDel="00000000" w:rsidP="00000000" w:rsidRDefault="00000000" w:rsidRPr="00000000" w14:paraId="00000059">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Comitati dei genitori </w:t>
      </w:r>
    </w:p>
    <w:p w:rsidR="00000000" w:rsidDel="00000000" w:rsidP="00000000" w:rsidRDefault="00000000" w:rsidRPr="00000000" w14:paraId="0000005A">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Biblioteche del territorio (Istituzione Classense e Biblioteca Valgimigli) </w:t>
      </w:r>
    </w:p>
    <w:p w:rsidR="00000000" w:rsidDel="00000000" w:rsidP="00000000" w:rsidRDefault="00000000" w:rsidRPr="00000000" w14:paraId="0000005B">
      <w:pPr>
        <w:widowControl w:val="0"/>
        <w:ind w:left="72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Sistema museale di Ravenna (Museo Didattico del Territorio in particolare) </w:t>
      </w:r>
    </w:p>
    <w:p w:rsidR="00000000" w:rsidDel="00000000" w:rsidP="00000000" w:rsidRDefault="00000000" w:rsidRPr="00000000" w14:paraId="0000005C">
      <w:pPr>
        <w:widowControl w:val="0"/>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Teatri di Ravenna (Ravenna Teatro) </w:t>
      </w:r>
    </w:p>
    <w:p w:rsidR="00000000" w:rsidDel="00000000" w:rsidP="00000000" w:rsidRDefault="00000000" w:rsidRPr="00000000" w14:paraId="0000005D">
      <w:pPr>
        <w:widowControl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Forze dell'Ordine</w:t>
      </w:r>
      <w:r w:rsidDel="00000000" w:rsidR="00000000" w:rsidRPr="00000000">
        <w:rPr>
          <w:rtl w:val="0"/>
        </w:rPr>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Popolazione scolastica</w:t>
      </w:r>
    </w:p>
    <w:tbl>
      <w:tblPr>
        <w:tblStyle w:val="Table1"/>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5130"/>
        <w:tblGridChange w:id="0">
          <w:tblGrid>
            <w:gridCol w:w="5295"/>
            <w:gridCol w:w="5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Opportunità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Vincoli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L'Istituto comprensivo è costituito da 9 plessi: tre di scuola dell'Infanzia, quattro di scuola primaria e due di scuola secondaria di 1° grado. Il contesto socio-economico di provenienza degli studenti è eterogeneo. L'incidenza degli alunni con cittadinanza non italiana è in leggero aumento rispetto al triennio precedente, attestandosi intorno al 17,5%. Si registra un'espansione urbana dovuta all'insediamento di numerosi nuclei familiari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mobilità degli studenti risulta piuttosto elevata sia in uscita sia in entrata. </w:t>
            </w:r>
          </w:p>
        </w:tc>
      </w:tr>
    </w:tbl>
    <w:p w:rsidR="00000000" w:rsidDel="00000000" w:rsidP="00000000" w:rsidRDefault="00000000" w:rsidRPr="00000000" w14:paraId="00000064">
      <w:pPr>
        <w:widowControl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5">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Territorio e capitale sociale</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gridCol w:w="5085"/>
        <w:tblGridChange w:id="0">
          <w:tblGrid>
            <w:gridCol w:w="5355"/>
            <w:gridCol w:w="5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Opportunità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Vincoli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L'istituto si estende geograficamente per circa 20 km. La vocazione produttiva è piuttosto diversificata. Significativa l'agricoltura specializzata e il settore turistico per la presenza di aziende agrituristiche e b&amp;b. L'occupazione è prevalentemente stagionale. Alto è il flusso migratorio interno (fonte ISTAT). I soggetti che collaborano con la scuola si identificano nell'ente comunale, nei Consigli territoriali, nei Comitati cittadini, nei Comitati dei genitori, nelle Associazioni sportive e culturali. Considerevole è la collaborazione con la Casa delle Culture, per l'integrazione degli alunni stranieri. Al fine di migliorare i livelli di apprendimento vengono realizzati progetti per l'ampliamento dell'offerta formativa, iniziative con il coinvolgimento di esperti esterni, attività laboratoriali grazie alla presenza dei laboratori di scienze, di informatica e di ambienti di apprendimento.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 registrano a volte difficoltà economiche da parte delle famiglie. Pertanto, la scuola mira ad aderire ai progetti finanziati a livello nazionale ed europeo, in modo da offrire a tutti gli studenti pari opportunità formative e culturali. </w:t>
            </w:r>
          </w:p>
        </w:tc>
      </w:tr>
    </w:tbl>
    <w:p w:rsidR="00000000" w:rsidDel="00000000" w:rsidP="00000000" w:rsidRDefault="00000000" w:rsidRPr="00000000" w14:paraId="0000006A">
      <w:pPr>
        <w:widowControl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B">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Risorse economiche e materiali</w:t>
      </w:r>
    </w:p>
    <w:tbl>
      <w:tblPr>
        <w:tblStyle w:val="Table3"/>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5040"/>
        <w:tblGridChange w:id="0">
          <w:tblGrid>
            <w:gridCol w:w="537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Opportunità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Vincoli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finanziamenti provengono in larga maggioranza dallo Stato e dagli Enti Locali. La percentuale di fondi erogati dalle famiglie comprende le spese per il contributo volontario, gli oneri per la partecipazione ad uscite didattiche e per la mensa. Come risorse strumentali si individuano laboratori, biblioteche, palestre, aule polivalenti, ambienti di apprendimento innovativi. Tutti i plessi di scuola primaria e secondaria di 1° grado hanno un laboratorio di informatica. In tutte le aule della scuola secondaria, della primaria e dell'infanzia sono presenti pc, LIM o Digital Board. E' presente un'aula adibita ad atelier creativo nel plesso di San Pietro in Campiano a disposizione della scuola primaria e secondaria.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scuola con le sue strutture rappresenta una risorsa per il territorio. I trasporti pubblici, sebbene siano concentrati prevalentemente negli orari scolastici, riescono ad assicurare il diritto allo studio. Per quanto riguarda la sicurezza, sono stati effettuati adeguamenti rilevanti agli edifici secondo la normativa vigente e nella prospettiva del superamento delle barriere architettoniche.</w:t>
            </w:r>
          </w:p>
        </w:tc>
      </w:tr>
    </w:tbl>
    <w:p w:rsidR="00000000" w:rsidDel="00000000" w:rsidP="00000000" w:rsidRDefault="00000000" w:rsidRPr="00000000" w14:paraId="00000070">
      <w:pPr>
        <w:widowControl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widowControl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Risorse professionali </w:t>
      </w:r>
    </w:p>
    <w:tbl>
      <w:tblPr>
        <w:tblStyle w:val="Table4"/>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040"/>
        <w:tblGridChange w:id="0">
          <w:tblGrid>
            <w:gridCol w:w="5385"/>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Opportunità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Vincoli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 tempo di permanenza medio dei docenti a tempo indeterminato è di 5 anni sia nella scuola primaria sia nella scuola secondaria. La situazione appare diversificata nei vari plessi: ci sono scuole con un alto numero di docenti a tempo indeterminato e altre in cui si rileva un numero elevato di docenti a tempo determinato.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percentuale di docenti neoassunti o arrivati recentemente nel nostro Istituto è molto alta, specialmente nella scuola primaria. Anche il numero dei docenti provenienti da altre Regioni o Province è significativo e in aumento rispetto al precedente triennio. Fattore che non assicura la continuità didattica, dal momento che i docenti chiedono, a volte, di rientrare nella regione di provenienza, dopo aver concluso il periodo obbligatorio di permanenza nella sede di servizio secondo la normativa vigente. Questo incide a volte sugli esiti degli apprendimenti. </w:t>
            </w:r>
          </w:p>
        </w:tc>
      </w:tr>
    </w:tbl>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ind w:lef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LA SCUOLA E IL SUO CONTESTO - Caratteristiche principali della scuola</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stati aggiornati i dati relativi della popolazione scolastica:</w:t>
      </w:r>
      <w:r w:rsidDel="00000000" w:rsidR="00000000" w:rsidRPr="00000000">
        <w:rPr>
          <w:rtl w:val="0"/>
        </w:rPr>
      </w:r>
    </w:p>
    <w:tbl>
      <w:tblPr>
        <w:tblStyle w:val="Table5"/>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95"/>
        <w:gridCol w:w="1455"/>
        <w:gridCol w:w="975"/>
        <w:gridCol w:w="705"/>
        <w:gridCol w:w="615"/>
        <w:gridCol w:w="645"/>
        <w:gridCol w:w="465"/>
        <w:tblGridChange w:id="0">
          <w:tblGrid>
            <w:gridCol w:w="2925"/>
            <w:gridCol w:w="2895"/>
            <w:gridCol w:w="1455"/>
            <w:gridCol w:w="975"/>
            <w:gridCol w:w="705"/>
            <w:gridCol w:w="615"/>
            <w:gridCol w:w="645"/>
            <w:gridCol w:w="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DENOMINAZIONE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NUMERO DI CLASSI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TOTALE ALUNNI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stra-</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BES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DSA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“PETER PAN”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PIETRO IN TRENTO”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“PICCOLO PRINCIPE”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PIETRO IN VINCOLI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“MARTIRI DEL MONTONE”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RONCALCECI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ZACCARIA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SPALLICCI”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PIETRO IN VINCOLI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CAMPAGNONI”</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PIETRO IN CAMPIANO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GESSI” SU 2 PLESSI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SECONDARIA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PIETRO IN VINCOLI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SECONDARIA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 PIETRO IN CAMPIANO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54</w:t>
            </w:r>
          </w:p>
        </w:tc>
      </w:tr>
    </w:tbl>
    <w:p w:rsidR="00000000" w:rsidDel="00000000" w:rsidP="00000000" w:rsidRDefault="00000000" w:rsidRPr="00000000" w14:paraId="000000DA">
      <w:pPr>
        <w:widowControl w:val="0"/>
        <w:ind w:lef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B">
      <w:pPr>
        <w:widowControl w:val="0"/>
        <w:ind w:lef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LA SCUOLA E IL SUO CONTESTO - Ricognizione attrezzature e infrastrutture materiali</w:t>
      </w:r>
    </w:p>
    <w:p w:rsidR="00000000" w:rsidDel="00000000" w:rsidP="00000000" w:rsidRDefault="00000000" w:rsidRPr="00000000" w14:paraId="000000DC">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stata effettuata la ricognizione delle attrezzature e delle infrastrutture materiali</w:t>
      </w:r>
    </w:p>
    <w:p w:rsidR="00000000" w:rsidDel="00000000" w:rsidP="00000000" w:rsidRDefault="00000000" w:rsidRPr="00000000" w14:paraId="000000DD">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Punti di forza dell'Istituto sono la presenza di: </w:t>
      </w:r>
    </w:p>
    <w:p w:rsidR="00000000" w:rsidDel="00000000" w:rsidP="00000000" w:rsidRDefault="00000000" w:rsidRPr="00000000" w14:paraId="000000DE">
      <w:pPr>
        <w:widowControl w:val="0"/>
        <w:ind w:left="72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spazi esterni delle scuole, giardini esterni ampi in tutti i Plessi dell'Istituto  che consentono di poter trascorrere non solo momenti di svago durante le pause di metà mattina e pranzo, ma anche di poter svolgere attività didattiche e sportive (stazione metereologica, promozione alla lettura, lezioni all'aperto) </w:t>
      </w:r>
    </w:p>
    <w:p w:rsidR="00000000" w:rsidDel="00000000" w:rsidP="00000000" w:rsidRDefault="00000000" w:rsidRPr="00000000" w14:paraId="000000DF">
      <w:pPr>
        <w:widowControl w:val="0"/>
        <w:ind w:left="72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ambienti didattici innovativi </w:t>
      </w:r>
    </w:p>
    <w:p w:rsidR="00000000" w:rsidDel="00000000" w:rsidP="00000000" w:rsidRDefault="00000000" w:rsidRPr="00000000" w14:paraId="000000E0">
      <w:pPr>
        <w:widowControl w:val="0"/>
        <w:ind w:left="72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laboratori di informatica e di scienze </w:t>
      </w:r>
    </w:p>
    <w:p w:rsidR="00000000" w:rsidDel="00000000" w:rsidP="00000000" w:rsidRDefault="00000000" w:rsidRPr="00000000" w14:paraId="000000E1">
      <w:pPr>
        <w:widowControl w:val="0"/>
        <w:ind w:left="72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aule cablate</w:t>
      </w:r>
    </w:p>
    <w:p w:rsidR="00000000" w:rsidDel="00000000" w:rsidP="00000000" w:rsidRDefault="00000000" w:rsidRPr="00000000" w14:paraId="000000E2">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ind w:lef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LE SCELTE STRATEGICHE - Aspetti generali</w:t>
      </w:r>
    </w:p>
    <w:p w:rsidR="00000000" w:rsidDel="00000000" w:rsidP="00000000" w:rsidRDefault="00000000" w:rsidRPr="00000000" w14:paraId="000000E4">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questa parte sono presenti:</w:t>
      </w:r>
    </w:p>
    <w:p w:rsidR="00000000" w:rsidDel="00000000" w:rsidP="00000000" w:rsidRDefault="00000000" w:rsidRPr="00000000" w14:paraId="000000E5">
      <w:pPr>
        <w:widowControl w:val="0"/>
        <w:numPr>
          <w:ilvl w:val="0"/>
          <w:numId w:val="7"/>
        </w:numPr>
        <w:ind w:left="720" w:right="281.81102362204797"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l’atto di indirizzo del Dirigente Scolastico</w:t>
      </w:r>
    </w:p>
    <w:p w:rsidR="00000000" w:rsidDel="00000000" w:rsidP="00000000" w:rsidRDefault="00000000" w:rsidRPr="00000000" w14:paraId="000000E6">
      <w:pPr>
        <w:widowControl w:val="0"/>
        <w:numPr>
          <w:ilvl w:val="0"/>
          <w:numId w:val="7"/>
        </w:numPr>
        <w:ind w:left="720" w:right="281.81102362204797"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priorità desunte dal RAV</w:t>
      </w:r>
    </w:p>
    <w:p w:rsidR="00000000" w:rsidDel="00000000" w:rsidP="00000000" w:rsidRDefault="00000000" w:rsidRPr="00000000" w14:paraId="000000E7">
      <w:pPr>
        <w:widowControl w:val="0"/>
        <w:numPr>
          <w:ilvl w:val="0"/>
          <w:numId w:val="7"/>
        </w:numPr>
        <w:ind w:left="72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 Piano di Miglioramento</w:t>
      </w:r>
    </w:p>
    <w:p w:rsidR="00000000" w:rsidDel="00000000" w:rsidP="00000000" w:rsidRDefault="00000000" w:rsidRPr="00000000" w14:paraId="000000E8">
      <w:pPr>
        <w:widowControl w:val="0"/>
        <w:numPr>
          <w:ilvl w:val="0"/>
          <w:numId w:val="7"/>
        </w:numPr>
        <w:ind w:left="72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progetti PNRR a cui </w:t>
      </w:r>
      <w:r w:rsidDel="00000000" w:rsidR="00000000" w:rsidRPr="00000000">
        <w:rPr>
          <w:rFonts w:ascii="Times New Roman" w:cs="Times New Roman" w:eastAsia="Times New Roman" w:hAnsi="Times New Roman"/>
          <w:sz w:val="24"/>
          <w:szCs w:val="24"/>
          <w:rtl w:val="0"/>
        </w:rPr>
        <w:t xml:space="preserve">l’Istituto ha aderito:</w:t>
      </w:r>
    </w:p>
    <w:p w:rsidR="00000000" w:rsidDel="00000000" w:rsidP="00000000" w:rsidRDefault="00000000" w:rsidRPr="00000000" w14:paraId="000000E9">
      <w:pPr>
        <w:widowControl w:val="0"/>
        <w:numPr>
          <w:ilvl w:val="1"/>
          <w:numId w:val="7"/>
        </w:numPr>
        <w:ind w:left="144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Progetto: Ambienti innovativi per la scuola di domani - Piano Scuola 4.0 - Azione 1 - Next generation class - Ambienti di apprendimento innovativi</w:t>
      </w:r>
    </w:p>
    <w:p w:rsidR="00000000" w:rsidDel="00000000" w:rsidP="00000000" w:rsidRDefault="00000000" w:rsidRPr="00000000" w14:paraId="000000EA">
      <w:pPr>
        <w:widowControl w:val="0"/>
        <w:numPr>
          <w:ilvl w:val="1"/>
          <w:numId w:val="7"/>
        </w:numPr>
        <w:ind w:left="144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Progetto: Animatore digitale: formazione del personale interno - Animatori digitali 2022-2024</w:t>
      </w:r>
    </w:p>
    <w:p w:rsidR="00000000" w:rsidDel="00000000" w:rsidP="00000000" w:rsidRDefault="00000000" w:rsidRPr="00000000" w14:paraId="000000EB">
      <w:pPr>
        <w:widowControl w:val="0"/>
        <w:numPr>
          <w:ilvl w:val="1"/>
          <w:numId w:val="7"/>
        </w:numPr>
        <w:ind w:left="144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Progetto: SCENARI INNOVATIVI PER LA CRESCITA DIGITALE DELLA SCUOLA - Formazione del personale scolastico per la transizione digitale nelle scuole statali (D.M. 66/2023) </w:t>
      </w:r>
    </w:p>
    <w:p w:rsidR="00000000" w:rsidDel="00000000" w:rsidP="00000000" w:rsidRDefault="00000000" w:rsidRPr="00000000" w14:paraId="000000EC">
      <w:pPr>
        <w:widowControl w:val="0"/>
        <w:numPr>
          <w:ilvl w:val="1"/>
          <w:numId w:val="7"/>
        </w:numPr>
        <w:ind w:left="144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Progetto: Apprendimento integrato delle STEM e delle lingue straniere - Competenze STEM e multilinguistiche nelle scuole statali (D.M. 65/2023)</w:t>
      </w:r>
    </w:p>
    <w:p w:rsidR="00000000" w:rsidDel="00000000" w:rsidP="00000000" w:rsidRDefault="00000000" w:rsidRPr="00000000" w14:paraId="000000ED">
      <w:pPr>
        <w:widowControl w:val="0"/>
        <w:numPr>
          <w:ilvl w:val="1"/>
          <w:numId w:val="7"/>
        </w:numPr>
        <w:ind w:left="144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Progetto: PREVENIRE E ORIENTARE - Riduzione dei divari negli apprendimenti e contrasto alla dispersione scolastica (D.M. 19/2024) </w:t>
      </w:r>
    </w:p>
    <w:p w:rsidR="00000000" w:rsidDel="00000000" w:rsidP="00000000" w:rsidRDefault="00000000" w:rsidRPr="00000000" w14:paraId="000000EE">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widowControl w:val="0"/>
        <w:ind w:left="0" w:right="281.81102362204797"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L'OFFERTA FORMATIVA - Aspetti generali </w:t>
      </w:r>
    </w:p>
    <w:p w:rsidR="00000000" w:rsidDel="00000000" w:rsidP="00000000" w:rsidRDefault="00000000" w:rsidRPr="00000000" w14:paraId="000000F0">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Gli insegnanti  sono impegnati, da tempo, nella creazione di una comunità educante coesa sia negli intenti formativi, sia nell’approccio valutativo e metodologico da utilizzare nelle classi. I docenti si impegnano quindi per rigenerare il territorio, a partire dai diritti di bambini/ragazzi, promuovendo la bellezza, l’inclusione e l’accoglienza, la legalità, la cultura, l’ambiente, la valorizzazione delle differenze, la cittadinanza attiva. Per formulare risposte ai bisogni didattici, educativi e organizzativi, che i nuovi scenari mettono in luce, ci si orienterà in una progettazione diffusa nei seguenti ambiti:</w:t>
      </w:r>
      <w:r w:rsidDel="00000000" w:rsidR="00000000" w:rsidRPr="00000000">
        <w:rPr>
          <w:rtl w:val="0"/>
        </w:rPr>
      </w:r>
    </w:p>
    <w:p w:rsidR="00000000" w:rsidDel="00000000" w:rsidP="00000000" w:rsidRDefault="00000000" w:rsidRPr="00000000" w14:paraId="000000F1">
      <w:pPr>
        <w:widowControl w:val="0"/>
        <w:numPr>
          <w:ilvl w:val="0"/>
          <w:numId w:val="1"/>
        </w:numPr>
        <w:ind w:left="720" w:right="281.81102362204797" w:hanging="36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inclusione e contrasto alla dispersione scolastica</w:t>
      </w:r>
    </w:p>
    <w:p w:rsidR="00000000" w:rsidDel="00000000" w:rsidP="00000000" w:rsidRDefault="00000000" w:rsidRPr="00000000" w14:paraId="000000F2">
      <w:pPr>
        <w:widowControl w:val="0"/>
        <w:numPr>
          <w:ilvl w:val="0"/>
          <w:numId w:val="1"/>
        </w:numPr>
        <w:ind w:left="720" w:right="281.81102362204797" w:hanging="36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creativita' ed espressività</w:t>
      </w:r>
    </w:p>
    <w:p w:rsidR="00000000" w:rsidDel="00000000" w:rsidP="00000000" w:rsidRDefault="00000000" w:rsidRPr="00000000" w14:paraId="000000F3">
      <w:pPr>
        <w:widowControl w:val="0"/>
        <w:numPr>
          <w:ilvl w:val="0"/>
          <w:numId w:val="1"/>
        </w:numPr>
        <w:ind w:left="720" w:right="281.81102362204797" w:hanging="36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continuita' e orientamento </w:t>
      </w:r>
    </w:p>
    <w:p w:rsidR="00000000" w:rsidDel="00000000" w:rsidP="00000000" w:rsidRDefault="00000000" w:rsidRPr="00000000" w14:paraId="000000F4">
      <w:pPr>
        <w:widowControl w:val="0"/>
        <w:numPr>
          <w:ilvl w:val="0"/>
          <w:numId w:val="1"/>
        </w:numPr>
        <w:ind w:left="720" w:right="281.81102362204797" w:hanging="36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sicurezza, prevenzione e benessere </w:t>
      </w:r>
    </w:p>
    <w:p w:rsidR="00000000" w:rsidDel="00000000" w:rsidP="00000000" w:rsidRDefault="00000000" w:rsidRPr="00000000" w14:paraId="000000F5">
      <w:pPr>
        <w:widowControl w:val="0"/>
        <w:ind w:right="281.81102362204797"/>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6">
      <w:pPr>
        <w:widowControl w:val="0"/>
        <w:ind w:right="281.81102362204797"/>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L'OFFERTA FORMATIVA - Traguardi attesi in uscita</w:t>
      </w:r>
      <w:r w:rsidDel="00000000" w:rsidR="00000000" w:rsidRPr="00000000">
        <w:rPr>
          <w:rtl w:val="0"/>
        </w:rPr>
      </w:r>
    </w:p>
    <w:p w:rsidR="00000000" w:rsidDel="00000000" w:rsidP="00000000" w:rsidRDefault="00000000" w:rsidRPr="00000000" w14:paraId="000000F7">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inseriti:</w:t>
      </w:r>
    </w:p>
    <w:p w:rsidR="00000000" w:rsidDel="00000000" w:rsidP="00000000" w:rsidRDefault="00000000" w:rsidRPr="00000000" w14:paraId="000000F8">
      <w:pPr>
        <w:widowControl w:val="0"/>
        <w:numPr>
          <w:ilvl w:val="0"/>
          <w:numId w:val="5"/>
        </w:numPr>
        <w:ind w:left="72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 la scuola dell’infanzia: le “Competenze di base attese al termine della scuola dell¿infanzia in termini di identità, autonomia, competenza, cittadinanza”</w:t>
      </w:r>
    </w:p>
    <w:p w:rsidR="00000000" w:rsidDel="00000000" w:rsidP="00000000" w:rsidRDefault="00000000" w:rsidRPr="00000000" w14:paraId="000000F9">
      <w:pPr>
        <w:widowControl w:val="0"/>
        <w:numPr>
          <w:ilvl w:val="0"/>
          <w:numId w:val="5"/>
        </w:numPr>
        <w:ind w:left="720" w:right="281.8110236220479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 la scuola primaria e la scuola secondaria: il “Profilo delle competenze al termine del primo ciclo di istruzione”</w:t>
      </w:r>
    </w:p>
    <w:p w:rsidR="00000000" w:rsidDel="00000000" w:rsidP="00000000" w:rsidRDefault="00000000" w:rsidRPr="00000000" w14:paraId="000000FA">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ind w:left="0" w:right="281.81102362204797"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L'OFFERTA FORMATIVA - Insegnamenti e quadri orario</w:t>
      </w:r>
    </w:p>
    <w:p w:rsidR="00000000" w:rsidDel="00000000" w:rsidP="00000000" w:rsidRDefault="00000000" w:rsidRPr="00000000" w14:paraId="000000FC">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ogni plesso è stato inserito l’orario di funzionamento e il monte ore previsto per anno di corso per l'insegnamento trasversale di educazione civica.</w:t>
      </w:r>
    </w:p>
    <w:p w:rsidR="00000000" w:rsidDel="00000000" w:rsidP="00000000" w:rsidRDefault="00000000" w:rsidRPr="00000000" w14:paraId="000000FD">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widowControl w:val="0"/>
        <w:ind w:lef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L'OFFERTA FORMATIVA- Curricolo di Istituto, Azioni per lo sviluppo delle competenze STEM, moduli di orientamento formativo</w:t>
      </w:r>
    </w:p>
    <w:p w:rsidR="00000000" w:rsidDel="00000000" w:rsidP="00000000" w:rsidRDefault="00000000" w:rsidRPr="00000000" w14:paraId="000000FF">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stati inseriti i Curricoli di Istituto, il curricolo aggiornato di Ed. Civica, le azioni per lo sviluppo delle competenze STEM e i moduli di orientamento formativo.</w:t>
      </w:r>
    </w:p>
    <w:p w:rsidR="00000000" w:rsidDel="00000000" w:rsidP="00000000" w:rsidRDefault="00000000" w:rsidRPr="00000000" w14:paraId="00000100">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widowControl w:val="0"/>
        <w:ind w:lef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L'OFFERTA FORMATIVA - Iniziative di ampliamento dell'offerta formativa</w:t>
      </w:r>
    </w:p>
    <w:p w:rsidR="00000000" w:rsidDel="00000000" w:rsidP="00000000" w:rsidRDefault="00000000" w:rsidRPr="00000000" w14:paraId="00000102">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Inclusione e contrasto alla dispersione scolastica. Alfabetizzazione emozionale</w:t>
      </w:r>
    </w:p>
    <w:p w:rsidR="00000000" w:rsidDel="00000000" w:rsidP="00000000" w:rsidRDefault="00000000" w:rsidRPr="00000000" w14:paraId="00000103">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Inclusione e contrasto alla dispersione scolastica. La scuola per tutti: recupero e potenziamento</w:t>
      </w:r>
    </w:p>
    <w:p w:rsidR="00000000" w:rsidDel="00000000" w:rsidP="00000000" w:rsidRDefault="00000000" w:rsidRPr="00000000" w14:paraId="00000104">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Inclusione e contrasto alla dispersione scolastica. Mediazione linguistica</w:t>
      </w:r>
    </w:p>
    <w:p w:rsidR="00000000" w:rsidDel="00000000" w:rsidP="00000000" w:rsidRDefault="00000000" w:rsidRPr="00000000" w14:paraId="00000105">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Inclusione e contrasto alla dispersione scolastica. Screening per alunni con bisogni educativi speciali</w:t>
      </w:r>
    </w:p>
    <w:p w:rsidR="00000000" w:rsidDel="00000000" w:rsidP="00000000" w:rsidRDefault="00000000" w:rsidRPr="00000000" w14:paraId="00000106">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Creativita' ed espressivita'. Bibliotecamente. Mostra del libro. Fuori centro. Laboratori artistici, musicali, teatrali.</w:t>
      </w:r>
    </w:p>
    <w:p w:rsidR="00000000" w:rsidDel="00000000" w:rsidP="00000000" w:rsidRDefault="00000000" w:rsidRPr="00000000" w14:paraId="00000107">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Continuita' e orientamento</w:t>
      </w:r>
    </w:p>
    <w:p w:rsidR="00000000" w:rsidDel="00000000" w:rsidP="00000000" w:rsidRDefault="00000000" w:rsidRPr="00000000" w14:paraId="00000108">
      <w:pPr>
        <w:widowControl w:val="0"/>
        <w:numPr>
          <w:ilvl w:val="0"/>
          <w:numId w:val="6"/>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Sicurezza prevenzione e benessere. Ambiente - salute - cittadinanza attiva - Fare storia con la storia - Scuola che promuovono la salute</w:t>
      </w:r>
    </w:p>
    <w:p w:rsidR="00000000" w:rsidDel="00000000" w:rsidP="00000000" w:rsidRDefault="00000000" w:rsidRPr="00000000" w14:paraId="00000109">
      <w:pPr>
        <w:widowControl w:val="0"/>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widowControl w:val="0"/>
        <w:ind w:right="281.81102362204797"/>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L'OFFERTA FORMATIVA - Azioni della Scuola per l'inclusione scolastica</w:t>
      </w:r>
    </w:p>
    <w:p w:rsidR="00000000" w:rsidDel="00000000" w:rsidP="00000000" w:rsidRDefault="00000000" w:rsidRPr="00000000" w14:paraId="0000010B">
      <w:pPr>
        <w:widowControl w:val="0"/>
        <w:ind w:left="0" w:right="281.81102362204797"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scuola realizza attività progettuali in collaborazione con enti esterni per favorire l'inclusione degli studenti con disabilità nel gruppo dei pari, con risultati apprezzabili . Gli insegnanti curricolari e di sostegno utilizzano in modo efficace metodologie che favoriscono una didattica inclusiva e/o individualizzata (tutoring, Cooperative learning, attività laboratoriali, attività in piccolo gruppo). </w:t>
      </w:r>
      <w:r w:rsidDel="00000000" w:rsidR="00000000" w:rsidRPr="00000000">
        <w:rPr>
          <w:rtl w:val="0"/>
        </w:rPr>
      </w:r>
    </w:p>
    <w:p w:rsidR="00000000" w:rsidDel="00000000" w:rsidP="00000000" w:rsidRDefault="00000000" w:rsidRPr="00000000" w14:paraId="0000010C">
      <w:pPr>
        <w:widowControl w:val="0"/>
        <w:ind w:left="0" w:right="281.81102362204797"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0D">
      <w:pPr>
        <w:widowControl w:val="0"/>
        <w:numPr>
          <w:ilvl w:val="0"/>
          <w:numId w:val="15"/>
        </w:numPr>
        <w:ind w:left="720" w:right="281.81102362204797"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Pubblicazione PTOF 2025-2028 </w:t>
      </w:r>
    </w:p>
    <w:p w:rsidR="00000000" w:rsidDel="00000000" w:rsidP="00000000" w:rsidRDefault="00000000" w:rsidRPr="00000000" w14:paraId="0000010E">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PTOF per il triennio 2025-2028 è stato predisposto in modo semplificato, includendo solo gli aspetti strategici principali. Le scuole avranno modo di definire meglio il piano con gli esiti della rendicontazione sociale del triennio precedente, a partire da settembre 2025.</w:t>
      </w:r>
    </w:p>
    <w:p w:rsidR="00000000" w:rsidDel="00000000" w:rsidP="00000000" w:rsidRDefault="00000000" w:rsidRPr="00000000" w14:paraId="0000010F">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numPr>
          <w:ilvl w:val="0"/>
          <w:numId w:val="15"/>
        </w:numPr>
        <w:ind w:left="720" w:right="281.81102362204797"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 tutor docente neoassunto </w:t>
      </w:r>
    </w:p>
    <w:p w:rsidR="00000000" w:rsidDel="00000000" w:rsidP="00000000" w:rsidRDefault="00000000" w:rsidRPr="00000000" w14:paraId="00000111">
      <w:pPr>
        <w:widowControl w:val="0"/>
        <w:ind w:left="0" w:right="281.8110236220479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 nomina la docente Guidetti Martina come tutor della docente neoassunta Montanari Letizia (posto comune - scuola primaria).</w:t>
      </w:r>
    </w:p>
    <w:p w:rsidR="00000000" w:rsidDel="00000000" w:rsidP="00000000" w:rsidRDefault="00000000" w:rsidRPr="00000000" w14:paraId="00000112">
      <w:pPr>
        <w:widowControl w:val="0"/>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 di deroga validità anno scolastico scuola primaria - proposta </w:t>
      </w:r>
    </w:p>
    <w:p w:rsidR="00000000" w:rsidDel="00000000" w:rsidP="00000000" w:rsidRDefault="00000000" w:rsidRPr="00000000" w14:paraId="00000114">
      <w:pPr>
        <w:spacing w:after="0" w:line="240" w:lineRule="auto"/>
        <w:ind w:right="281.811023622047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L’introduzione dell’art.12 della Legge 159/23 che modifica la vigilanza sull’obbligo di istruzione e che si riporta a seguire ha comportato che la validazione dell’anno scolastico trovi applicazione per tutti gli alunni della scuola del I ciclo: secondaria e primaria.</w:t>
      </w:r>
    </w:p>
    <w:p w:rsidR="00000000" w:rsidDel="00000000" w:rsidP="00000000" w:rsidRDefault="00000000" w:rsidRPr="00000000" w14:paraId="00000115">
      <w:pPr>
        <w:spacing w:after="0" w:line="240" w:lineRule="auto"/>
        <w:ind w:right="281.811023622047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 12 della Legge n. 159/23 del 15.11.2023 di conversione del Decreto Legge n.123/2023 “Misure urgenti di contrasto al disagio giovanile, alla povertà educativa e alla criminalità minorile, nonché per la sicurezza dei minori in ambito digitale” sostituisce l’art.114 (Vigilanza sull’adempimento dell’obbligo di istruzione) del testo unico delle disposizioni legislative vigenti in materia di istruzione, relative alle scuole di ogni ordine e grado, di cui al decreto legislativo 16 aprile 1994, n. 297 e che riporta ai comma 4-5 .</w:t>
      </w:r>
    </w:p>
    <w:p w:rsidR="00000000" w:rsidDel="00000000" w:rsidP="00000000" w:rsidRDefault="00000000" w:rsidRPr="00000000" w14:paraId="00000116">
      <w:pPr>
        <w:spacing w:after="0" w:line="240" w:lineRule="auto"/>
        <w:ind w:right="281.811023622047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Il Dirigente scolastico verifica la frequenza degli alunni soggetti all’obbligo di istruzione, individuando quelli che sono assenti per più di quindici giorni, anche non consecutivi, nel corso di tre mesi, senza giustificati motivi. Nel caso in cui l’alunno non riprenda la frequenza entro sette giorni dalla comunicazione al responsabile dell’adempimento dell’obbligo di istruzione, il Dirigente scolastico avvisa entro sette giorni il sindaco affinché questi proceda all’ammonizione del responsabile medesimo invitandolo ad ottemperare alla legge. In ogni caso, costituisce elusione dell’obbligo di istruzione la mancata frequenza di almeno un quarto del monte ore annuale personalizzato senza giustificati motivi. </w:t>
      </w:r>
    </w:p>
    <w:p w:rsidR="00000000" w:rsidDel="00000000" w:rsidP="00000000" w:rsidRDefault="00000000" w:rsidRPr="00000000" w14:paraId="00000117">
      <w:pPr>
        <w:spacing w:after="0" w:line="240" w:lineRule="auto"/>
        <w:ind w:right="281.8110236220479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In caso di violazione dell’obbligo di istruzione di cui al comma 1, il sindaco procede ai sensi dell’articolo 331 del codice di procedura penale se la persona responsabile dell’adempimento dell’obbligo, previamente ammonita, non provi di procurare altrimenti l’istruzione degli obbligati o non giustifichi con motivi di salute, o con altri impedimenti gravi, la mancata iscrizione del minore presso una scuola del sistema nazionale di istruzione o non ve lo presenti entro una settimana dall’ammonizione. Parimenti il sindaco procede ai sensi dell’articolo 331 del codice di procedura penale in caso di elusione dell’obbligo di istruzione di cui al comma 4.”.</w:t>
      </w:r>
    </w:p>
    <w:p w:rsidR="00000000" w:rsidDel="00000000" w:rsidP="00000000" w:rsidRDefault="00000000" w:rsidRPr="00000000" w14:paraId="00000118">
      <w:pPr>
        <w:spacing w:after="0" w:line="240" w:lineRule="auto"/>
        <w:ind w:right="281.811023622047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delibera assunta dal Collegio dei docenti definisce il monte ore personalizzato che deve essere obbligatoriamente conseguito dagli alunni frequentanti la nostra istituzione in relazione al corso frequentato per l’ammissione alla classe successiva nei settori della scuola primaria e secondaria o agli Esami di Stato per l’a.s. 24- 25.</w:t>
      </w:r>
    </w:p>
    <w:p w:rsidR="00000000" w:rsidDel="00000000" w:rsidP="00000000" w:rsidRDefault="00000000" w:rsidRPr="00000000" w14:paraId="00000119">
      <w:pPr>
        <w:widowControl w:val="0"/>
        <w:rPr/>
      </w:pPr>
      <w:r w:rsidDel="00000000" w:rsidR="00000000" w:rsidRPr="00000000">
        <w:rPr>
          <w:rtl w:val="0"/>
        </w:rPr>
      </w:r>
    </w:p>
    <w:tbl>
      <w:tblPr>
        <w:tblStyle w:val="Table6"/>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65"/>
        <w:gridCol w:w="3705"/>
        <w:gridCol w:w="1320"/>
        <w:gridCol w:w="1860"/>
        <w:gridCol w:w="2385"/>
        <w:tblGridChange w:id="0">
          <w:tblGrid>
            <w:gridCol w:w="1365"/>
            <w:gridCol w:w="3705"/>
            <w:gridCol w:w="1320"/>
            <w:gridCol w:w="1860"/>
            <w:gridCol w:w="2385"/>
          </w:tblGrid>
        </w:tblGridChange>
      </w:tblGrid>
      <w:tr>
        <w:trPr>
          <w:cantSplit w:val="0"/>
          <w:trHeight w:val="765.9296875000001"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1A">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SCUOLA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1B">
            <w:pPr>
              <w:widowControl w:val="1"/>
              <w:ind w:left="247" w:right="24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Ore settimanali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1C">
            <w:pPr>
              <w:widowControl w:val="1"/>
              <w:ind w:righ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Monte ore annuale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1D">
            <w:pPr>
              <w:widowControl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Numero minimo presenze 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1E">
            <w:pPr>
              <w:widowControl w:val="1"/>
              <w:spacing w:before="193" w:lineRule="auto"/>
              <w:ind w:left="0" w:right="1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Numero ore massimo di assenze 25%</w:t>
            </w:r>
            <w:r w:rsidDel="00000000" w:rsidR="00000000" w:rsidRPr="00000000">
              <w:rPr>
                <w:rtl w:val="0"/>
              </w:rPr>
            </w:r>
          </w:p>
        </w:tc>
      </w:tr>
      <w:tr>
        <w:trPr>
          <w:cantSplit w:val="0"/>
          <w:trHeight w:val="450" w:hRule="atLeast"/>
          <w:tblHeader w:val="0"/>
        </w:trPr>
        <w:tc>
          <w:tcPr>
            <w:vMerge w:val="restart"/>
            <w:tcBorders>
              <w:top w:color="000000" w:space="0" w:sz="8" w:val="single"/>
              <w:left w:color="000000" w:space="0" w:sz="8" w:val="single"/>
              <w:right w:color="000000" w:space="0" w:sz="8" w:val="single"/>
            </w:tcBorders>
            <w:shd w:fill="dbe4f0" w:val="clear"/>
            <w:tcMar>
              <w:top w:w="0.0" w:type="dxa"/>
              <w:left w:w="0.0" w:type="dxa"/>
              <w:bottom w:w="0.0" w:type="dxa"/>
              <w:right w:w="0.0" w:type="dxa"/>
            </w:tcMar>
            <w:vAlign w:val="top"/>
          </w:tcPr>
          <w:p w:rsidR="00000000" w:rsidDel="00000000" w:rsidP="00000000" w:rsidRDefault="00000000" w:rsidRPr="00000000" w14:paraId="0000011F">
            <w:pPr>
              <w:widowControl w:val="1"/>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widowControl w:val="1"/>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1"/>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1"/>
              <w:spacing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Primaria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3">
            <w:pPr>
              <w:widowControl w:val="1"/>
              <w:spacing w:after="0" w:before="0" w:lineRule="auto"/>
              <w:ind w:left="141.7322834645671" w:right="35.551181102362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40 ore settimanali (tempo pieno)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4">
            <w:pPr>
              <w:widowControl w:val="1"/>
              <w:spacing w:after="0" w:before="0" w:lineRule="auto"/>
              <w:ind w:left="184"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1320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5">
            <w:pPr>
              <w:widowControl w:val="1"/>
              <w:spacing w:after="0" w:before="0" w:lineRule="auto"/>
              <w:ind w:left="186"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990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6">
            <w:pPr>
              <w:widowControl w:val="1"/>
              <w:spacing w:after="0" w:before="0" w:lineRule="auto"/>
              <w:ind w:left="589" w:right="54" w:hanging="38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12121"/>
                <w:sz w:val="24"/>
                <w:szCs w:val="24"/>
                <w:rtl w:val="0"/>
              </w:rPr>
              <w:t xml:space="preserve">330 </w:t>
            </w:r>
            <w:r w:rsidDel="00000000" w:rsidR="00000000" w:rsidRPr="00000000">
              <w:rPr>
                <w:rtl w:val="0"/>
              </w:rPr>
            </w:r>
          </w:p>
        </w:tc>
      </w:tr>
      <w:tr>
        <w:trPr>
          <w:cantSplit w:val="0"/>
          <w:trHeight w:val="275.9765625" w:hRule="atLeast"/>
          <w:tblHeader w:val="0"/>
        </w:trPr>
        <w:tc>
          <w:tcPr>
            <w:vMerge w:val="continue"/>
            <w:tcBorders>
              <w:left w:color="000000" w:space="0" w:sz="8" w:val="single"/>
              <w:right w:color="000000" w:space="0" w:sz="8" w:val="single"/>
            </w:tcBorders>
            <w:shd w:fill="dbe4f0" w:val="clear"/>
            <w:tcMar>
              <w:top w:w="140.0" w:type="dxa"/>
              <w:left w:w="140.0" w:type="dxa"/>
              <w:bottom w:w="140.0" w:type="dxa"/>
              <w:right w:w="140.0" w:type="dxa"/>
            </w:tcMar>
            <w:vAlign w:val="top"/>
          </w:tcPr>
          <w:p w:rsidR="00000000" w:rsidDel="00000000" w:rsidP="00000000" w:rsidRDefault="00000000" w:rsidRPr="00000000" w14:paraId="00000127">
            <w:pPr>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28">
            <w:pPr>
              <w:widowControl w:val="1"/>
              <w:spacing w:after="0" w:before="0" w:lineRule="auto"/>
              <w:ind w:left="0" w:right="35.5511811023626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28 ore settimanali (tempo normale)</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29">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924</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2A">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693</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2B">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231</w:t>
            </w:r>
          </w:p>
        </w:tc>
      </w:tr>
      <w:tr>
        <w:trPr>
          <w:cantSplit w:val="0"/>
          <w:trHeight w:val="435" w:hRule="atLeast"/>
          <w:tblHeader w:val="0"/>
        </w:trPr>
        <w:tc>
          <w:tcPr>
            <w:vMerge w:val="continue"/>
            <w:tcBorders>
              <w:left w:color="000000" w:space="0" w:sz="8" w:val="single"/>
              <w:right w:color="000000" w:space="0" w:sz="8" w:val="single"/>
            </w:tcBorders>
            <w:shd w:fill="dbe4f0" w:val="clear"/>
            <w:tcMar>
              <w:top w:w="140.0" w:type="dxa"/>
              <w:left w:w="140.0" w:type="dxa"/>
              <w:bottom w:w="140.0" w:type="dxa"/>
              <w:right w:w="140.0" w:type="dxa"/>
            </w:tcMar>
            <w:vAlign w:val="top"/>
          </w:tcPr>
          <w:p w:rsidR="00000000" w:rsidDel="00000000" w:rsidP="00000000" w:rsidRDefault="00000000" w:rsidRPr="00000000" w14:paraId="0000012C">
            <w:pPr>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D">
            <w:pPr>
              <w:widowControl w:val="1"/>
              <w:spacing w:after="0" w:before="0" w:lineRule="auto"/>
              <w:ind w:left="141.7322834645671" w:right="35.5511811023626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29 ore settimanali (tempo normale) </w:t>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E">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957</w:t>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2F">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718</w:t>
            </w:r>
          </w:p>
        </w:tc>
        <w:tc>
          <w:tcPr>
            <w:tcBorders>
              <w:top w:color="000000" w:space="0" w:sz="8" w:val="single"/>
              <w:left w:color="000000" w:space="0" w:sz="8" w:val="single"/>
              <w:bottom w:color="000000" w:space="0" w:sz="8" w:val="single"/>
              <w:right w:color="000000" w:space="0" w:sz="8" w:val="single"/>
            </w:tcBorders>
            <w:shd w:fill="dbe4f0" w:val="clear"/>
            <w:tcMar>
              <w:top w:w="0.0" w:type="dxa"/>
              <w:left w:w="0.0" w:type="dxa"/>
              <w:bottom w:w="0.0" w:type="dxa"/>
              <w:right w:w="0.0" w:type="dxa"/>
            </w:tcMar>
            <w:vAlign w:val="center"/>
          </w:tcPr>
          <w:p w:rsidR="00000000" w:rsidDel="00000000" w:rsidP="00000000" w:rsidRDefault="00000000" w:rsidRPr="00000000" w14:paraId="00000130">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239 </w:t>
            </w:r>
          </w:p>
        </w:tc>
      </w:tr>
      <w:tr>
        <w:trPr>
          <w:cantSplit w:val="0"/>
          <w:trHeight w:val="155.9765625" w:hRule="atLeast"/>
          <w:tblHeader w:val="0"/>
        </w:trPr>
        <w:tc>
          <w:tcPr>
            <w:vMerge w:val="continue"/>
            <w:tcBorders>
              <w:left w:color="000000" w:space="0" w:sz="8" w:val="single"/>
              <w:right w:color="000000" w:space="0" w:sz="8" w:val="single"/>
            </w:tcBorders>
            <w:shd w:fill="dbe4f0" w:val="clear"/>
            <w:tcMar>
              <w:top w:w="140.0" w:type="dxa"/>
              <w:left w:w="140.0" w:type="dxa"/>
              <w:bottom w:w="140.0" w:type="dxa"/>
              <w:right w:w="140.0" w:type="dxa"/>
            </w:tcMar>
            <w:vAlign w:val="top"/>
          </w:tcPr>
          <w:p w:rsidR="00000000" w:rsidDel="00000000" w:rsidP="00000000" w:rsidRDefault="00000000" w:rsidRPr="00000000" w14:paraId="00000131">
            <w:pPr>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2">
            <w:pPr>
              <w:widowControl w:val="1"/>
              <w:spacing w:after="0" w:before="0" w:lineRule="auto"/>
              <w:ind w:left="0" w:right="35.5511811023626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30 ore settimanali (tempo normale) </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3">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990</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4">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743</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5">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247</w:t>
            </w:r>
          </w:p>
        </w:tc>
      </w:tr>
      <w:tr>
        <w:trPr>
          <w:cantSplit w:val="0"/>
          <w:trHeight w:val="200.9765625" w:hRule="atLeast"/>
          <w:tblHeader w:val="0"/>
        </w:trPr>
        <w:tc>
          <w:tcPr>
            <w:vMerge w:val="continue"/>
            <w:tcBorders>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top"/>
          </w:tcPr>
          <w:p w:rsidR="00000000" w:rsidDel="00000000" w:rsidP="00000000" w:rsidRDefault="00000000" w:rsidRPr="00000000" w14:paraId="00000136">
            <w:pPr>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7">
            <w:pPr>
              <w:widowControl w:val="1"/>
              <w:spacing w:after="0" w:before="0" w:lineRule="auto"/>
              <w:ind w:left="0" w:right="35.55118110236265" w:firstLine="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32 ore settimanali (tempo normale)</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8">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1056</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9">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792</w:t>
            </w:r>
          </w:p>
        </w:tc>
        <w:tc>
          <w:tcPr>
            <w:tcBorders>
              <w:top w:color="000000" w:space="0" w:sz="8" w:val="single"/>
              <w:left w:color="000000" w:space="0" w:sz="8" w:val="single"/>
              <w:bottom w:color="000000" w:space="0" w:sz="8" w:val="single"/>
              <w:right w:color="000000" w:space="0" w:sz="8" w:val="single"/>
            </w:tcBorders>
            <w:shd w:fill="dbe4f0" w:val="clear"/>
            <w:tcMar>
              <w:top w:w="140.0" w:type="dxa"/>
              <w:left w:w="140.0" w:type="dxa"/>
              <w:bottom w:w="140.0" w:type="dxa"/>
              <w:right w:w="140.0" w:type="dxa"/>
            </w:tcMar>
            <w:vAlign w:val="center"/>
          </w:tcPr>
          <w:p w:rsidR="00000000" w:rsidDel="00000000" w:rsidP="00000000" w:rsidRDefault="00000000" w:rsidRPr="00000000" w14:paraId="0000013A">
            <w:pPr>
              <w:widowControl w:val="1"/>
              <w:spacing w:after="0" w:before="0" w:lineRule="auto"/>
              <w:ind w:left="405" w:right="253" w:hanging="135"/>
              <w:jc w:val="center"/>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264</w:t>
            </w:r>
          </w:p>
        </w:tc>
      </w:tr>
      <w:tr>
        <w:trPr>
          <w:cantSplit w:val="0"/>
          <w:trHeight w:val="784.9062500000001"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B">
            <w:pPr>
              <w:widowControl w:val="1"/>
              <w:spacing w:before="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Secondaria di Primo Grado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3C">
            <w:pPr>
              <w:widowControl w:val="1"/>
              <w:spacing w:after="0" w:before="0" w:lineRule="auto"/>
              <w:ind w:left="141.7322834645671" w:right="35.551181102362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30 ore settimanali (tempo normale)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3D">
            <w:pPr>
              <w:widowControl w:val="1"/>
              <w:spacing w:after="0" w:before="0" w:lineRule="auto"/>
              <w:ind w:left="187"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990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3E">
            <w:pPr>
              <w:widowControl w:val="1"/>
              <w:spacing w:after="0" w:before="0" w:lineRule="auto"/>
              <w:ind w:left="186" w:righ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743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3F">
            <w:pPr>
              <w:widowControl w:val="1"/>
              <w:spacing w:after="0" w:before="0" w:lineRule="auto"/>
              <w:ind w:left="310" w:right="293" w:firstLine="5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12121"/>
                <w:sz w:val="24"/>
                <w:szCs w:val="24"/>
                <w:rtl w:val="0"/>
              </w:rPr>
              <w:t xml:space="preserve">247</w:t>
            </w:r>
            <w:r w:rsidDel="00000000" w:rsidR="00000000" w:rsidRPr="00000000">
              <w:rPr>
                <w:rtl w:val="0"/>
              </w:rPr>
            </w:r>
          </w:p>
        </w:tc>
      </w:tr>
    </w:tbl>
    <w:p w:rsidR="00000000" w:rsidDel="00000000" w:rsidP="00000000" w:rsidRDefault="00000000" w:rsidRPr="00000000" w14:paraId="0000014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spacing w:after="0" w:line="240" w:lineRule="auto"/>
        <w:ind w:right="281.811023622047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Pertanto si propongono per la delibera i seguenti criteri di deroga al limite di frequenza, già approvate per la scuola secondaria di primo grado,  (DPR 122/2009; C. M. 20/2011):</w:t>
      </w:r>
    </w:p>
    <w:p w:rsidR="00000000" w:rsidDel="00000000" w:rsidP="00000000" w:rsidRDefault="00000000" w:rsidRPr="00000000" w14:paraId="00000142">
      <w:pPr>
        <w:numPr>
          <w:ilvl w:val="0"/>
          <w:numId w:val="14"/>
        </w:numPr>
        <w:spacing w:after="0" w:line="240" w:lineRule="auto"/>
        <w:ind w:left="720" w:right="281.81102362204797"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le assenze per ricovero </w:t>
      </w:r>
      <w:r w:rsidDel="00000000" w:rsidR="00000000" w:rsidRPr="00000000">
        <w:rPr>
          <w:rFonts w:ascii="Times New Roman" w:cs="Times New Roman" w:eastAsia="Times New Roman" w:hAnsi="Times New Roman"/>
          <w:sz w:val="24"/>
          <w:szCs w:val="24"/>
          <w:rtl w:val="0"/>
        </w:rPr>
        <w:t xml:space="preserve">ospedaliero o in casa di cura, documentato con certificato di ricovero e di dimissione e successivo periodo di convalescenza prescritto all’atto della dimissione e convalidato dal medico curante;</w:t>
      </w:r>
    </w:p>
    <w:p w:rsidR="00000000" w:rsidDel="00000000" w:rsidP="00000000" w:rsidRDefault="00000000" w:rsidRPr="00000000" w14:paraId="00000143">
      <w:pPr>
        <w:numPr>
          <w:ilvl w:val="0"/>
          <w:numId w:val="14"/>
        </w:numPr>
        <w:spacing w:after="0" w:line="240" w:lineRule="auto"/>
        <w:ind w:left="720" w:right="281.81102362204797"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le assenze continuative </w:t>
      </w:r>
      <w:r w:rsidDel="00000000" w:rsidR="00000000" w:rsidRPr="00000000">
        <w:rPr>
          <w:rFonts w:ascii="Times New Roman" w:cs="Times New Roman" w:eastAsia="Times New Roman" w:hAnsi="Times New Roman"/>
          <w:sz w:val="24"/>
          <w:szCs w:val="24"/>
          <w:rtl w:val="0"/>
        </w:rPr>
        <w:t xml:space="preserve">superiori a 30 giorni o assenze ricorrenti per grave malattia documentata con certificato del medico curante attestante la gravità della patologia. Le assenze, da documentarsi nelle modalità sopra delineate, possono riferirsi a patologie sia di natura fisica che psicologica;</w:t>
      </w:r>
    </w:p>
    <w:p w:rsidR="00000000" w:rsidDel="00000000" w:rsidP="00000000" w:rsidRDefault="00000000" w:rsidRPr="00000000" w14:paraId="00000144">
      <w:pPr>
        <w:numPr>
          <w:ilvl w:val="0"/>
          <w:numId w:val="14"/>
        </w:numPr>
        <w:spacing w:after="0" w:line="240" w:lineRule="auto"/>
        <w:ind w:left="720" w:right="281.8110236220479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 assenze per motivi di culto;</w:t>
      </w:r>
      <w:r w:rsidDel="00000000" w:rsidR="00000000" w:rsidRPr="00000000">
        <w:rPr>
          <w:rtl w:val="0"/>
        </w:rPr>
      </w:r>
    </w:p>
    <w:p w:rsidR="00000000" w:rsidDel="00000000" w:rsidP="00000000" w:rsidRDefault="00000000" w:rsidRPr="00000000" w14:paraId="00000145">
      <w:pPr>
        <w:numPr>
          <w:ilvl w:val="0"/>
          <w:numId w:val="14"/>
        </w:numPr>
        <w:spacing w:after="0" w:line="240" w:lineRule="auto"/>
        <w:ind w:left="720" w:right="281.81102362204797"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le assenze per gravi motivi personali e/o di famiglia</w:t>
      </w:r>
      <w:r w:rsidDel="00000000" w:rsidR="00000000" w:rsidRPr="00000000">
        <w:rPr>
          <w:rFonts w:ascii="Times New Roman" w:cs="Times New Roman" w:eastAsia="Times New Roman" w:hAnsi="Times New Roman"/>
          <w:sz w:val="24"/>
          <w:szCs w:val="24"/>
          <w:rtl w:val="0"/>
        </w:rPr>
        <w:t xml:space="preserve">, documentate e debitamente motivate (lutto di parente stretto, trasferimento famiglia, provvedimenti dell’autorità giudiziaria, gravi patologie dei componenti del nucleo familiare, rientro nel paese d’origine per motivi legali);</w:t>
      </w:r>
    </w:p>
    <w:p w:rsidR="00000000" w:rsidDel="00000000" w:rsidP="00000000" w:rsidRDefault="00000000" w:rsidRPr="00000000" w14:paraId="00000146">
      <w:pPr>
        <w:numPr>
          <w:ilvl w:val="0"/>
          <w:numId w:val="14"/>
        </w:numPr>
        <w:spacing w:after="0" w:line="240" w:lineRule="auto"/>
        <w:ind w:left="720" w:right="281.81102362204797" w:hanging="360"/>
        <w:jc w:val="both"/>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le assenze dovute a partecipazione a competizioni sportive </w:t>
      </w:r>
      <w:r w:rsidDel="00000000" w:rsidR="00000000" w:rsidRPr="00000000">
        <w:rPr>
          <w:rFonts w:ascii="Times New Roman" w:cs="Times New Roman" w:eastAsia="Times New Roman" w:hAnsi="Times New Roman"/>
          <w:sz w:val="24"/>
          <w:szCs w:val="24"/>
          <w:rtl w:val="0"/>
        </w:rPr>
        <w:t xml:space="preserve">a livello agonistico organizzate da federazioni riconosciute dal CONI e a carattere nazionale;</w:t>
      </w:r>
    </w:p>
    <w:p w:rsidR="00000000" w:rsidDel="00000000" w:rsidP="00000000" w:rsidRDefault="00000000" w:rsidRPr="00000000" w14:paraId="00000147">
      <w:pPr>
        <w:numPr>
          <w:ilvl w:val="0"/>
          <w:numId w:val="14"/>
        </w:numPr>
        <w:spacing w:after="0" w:line="240" w:lineRule="auto"/>
        <w:ind w:left="720" w:right="281.8110236220479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altri casi particolari debitamente motivati non riconducibili alle fattispecie individuate sui quali i Consigli di Classe saranno chiamati ad esprimersi.</w:t>
      </w:r>
      <w:r w:rsidDel="00000000" w:rsidR="00000000" w:rsidRPr="00000000">
        <w:rPr>
          <w:rtl w:val="0"/>
        </w:rPr>
      </w:r>
    </w:p>
    <w:p w:rsidR="00000000" w:rsidDel="00000000" w:rsidP="00000000" w:rsidRDefault="00000000" w:rsidRPr="00000000" w14:paraId="00000148">
      <w:pPr>
        <w:spacing w:after="0" w:line="240" w:lineRule="auto"/>
        <w:ind w:right="281.8110236220479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in casi eccezionali (particolare disagio socio-ambientale, eventi personali e/o familiari gravi e drammatici ecc…) si può, previa valutazione del Consiglio di classe motivata e documentata, procedere a deroga pur in presenza del superamento del limite di assenze previsto. Tale deroga dovrà sempre tenere in debito conto le finalità educative e formative delle discipline e la loro valutazione. Il Consiglio di classe determina nel merito con specifica delibera motivata, alla quale segue passaggio ed approvazione da parte del Collegio dei Docenti.</w:t>
      </w:r>
    </w:p>
    <w:p w:rsidR="00000000" w:rsidDel="00000000" w:rsidP="00000000" w:rsidRDefault="00000000" w:rsidRPr="00000000" w14:paraId="00000149">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 n. 28</w:t>
      </w:r>
    </w:p>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docenti approva all’unanimità i criteri di deroga validità anno scolastico per la scuola primaria.</w:t>
      </w:r>
    </w:p>
    <w:p w:rsidR="00000000" w:rsidDel="00000000" w:rsidP="00000000" w:rsidRDefault="00000000" w:rsidRPr="00000000" w14:paraId="0000014C">
      <w:pPr>
        <w:widowControl w:val="0"/>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widowControl w:val="0"/>
        <w:numPr>
          <w:ilvl w:val="0"/>
          <w:numId w:val="15"/>
        </w:numPr>
        <w:ind w:left="720" w:right="1358.687744140625"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MIM – Nota prot. n. 6311 del 28/11/2024 – Iscrizioni on line anno scolastico </w:t>
      </w:r>
    </w:p>
    <w:p w:rsidR="00000000" w:rsidDel="00000000" w:rsidP="00000000" w:rsidRDefault="00000000" w:rsidRPr="00000000" w14:paraId="0000014E">
      <w:pPr>
        <w:widowControl w:val="0"/>
        <w:ind w:left="720" w:right="1358.6877441406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2025/2026 -  Criteri di formazione sezioni/classi </w:t>
      </w:r>
    </w:p>
    <w:p w:rsidR="00000000" w:rsidDel="00000000" w:rsidP="00000000" w:rsidRDefault="00000000" w:rsidRPr="00000000" w14:paraId="0000014F">
      <w:pPr>
        <w:widowControl w:val="0"/>
        <w:ind w:right="-1.653543307086238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nota del MIM precisa che “</w:t>
      </w:r>
      <w:r w:rsidDel="00000000" w:rsidR="00000000" w:rsidRPr="00000000">
        <w:rPr>
          <w:rFonts w:ascii="Times New Roman" w:cs="Times New Roman" w:eastAsia="Times New Roman" w:hAnsi="Times New Roman"/>
          <w:i w:val="1"/>
          <w:sz w:val="24"/>
          <w:szCs w:val="24"/>
          <w:rtl w:val="0"/>
        </w:rPr>
        <w:t xml:space="preserve">È compito del dirigente scolastico individuare il numero massimo di iscrizioni accoglibili, in ragione delle risorse di organico, nonché del numero e della capienza delle aule e degli spazi disponibili. Pertanto, prima dell’acquisizione delle iscrizioni, nell’ipotesi di richieste in eccedenza, la scuola definisce criteri di precedenza nell’ammissione, mediante delibera del Consiglio di istituto da rendere pubblica con affissione all’albo, con pubblicazione sul sito web dell’istituzione scolastica e, per le iscrizioni on line, in apposita sezione del modulo di iscrizione personalizzato dalla scuola.[...] Tenuto conto della frequenza con la quale si verifica la necessità di trattare domande di iscrizione pervenute in corso d’anno in relazione a trasferimenti della famiglia dell’alunno/studente e/o a eventuali cambi di percorso di studio o indirizzo tra un anno scolastico e l’altro, pare opportuno che il Consiglio di istituto prenda in considerazione anche questa casistica e deliberi i criteri di precedenza nell’accoglimento delle stesse, tenendo in particolare considerazione le situazioni emergenziali e quelle legate a trasferimenti per esigenze di servizio di particolari categorie, che spesso vengono disposti con preavvisi molto brevi e che non devono causare l’interruzione della frequenza per gli alunni/studenti.”</w:t>
      </w:r>
      <w:r w:rsidDel="00000000" w:rsidR="00000000" w:rsidRPr="00000000">
        <w:rPr>
          <w:rtl w:val="0"/>
        </w:rPr>
      </w:r>
    </w:p>
    <w:p w:rsidR="00000000" w:rsidDel="00000000" w:rsidP="00000000" w:rsidRDefault="00000000" w:rsidRPr="00000000" w14:paraId="00000150">
      <w:pPr>
        <w:widowControl w:val="0"/>
        <w:ind w:left="0" w:right="1358.68774414062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day - modalità organizzative e calendario </w:t>
      </w:r>
    </w:p>
    <w:p w:rsidR="00000000" w:rsidDel="00000000" w:rsidP="00000000" w:rsidRDefault="00000000" w:rsidRPr="00000000" w14:paraId="00000152">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Scolastica presenta le modalità organizzative e il calendario degli Open day.</w:t>
      </w:r>
    </w:p>
    <w:p w:rsidR="00000000" w:rsidDel="00000000" w:rsidP="00000000" w:rsidRDefault="00000000" w:rsidRPr="00000000" w14:paraId="00000153">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primo incontro degli open day seguirà il seguente calendario:</w:t>
      </w:r>
    </w:p>
    <w:p w:rsidR="00000000" w:rsidDel="00000000" w:rsidP="00000000" w:rsidRDefault="00000000" w:rsidRPr="00000000" w14:paraId="00000154">
      <w:pPr>
        <w:widowControl w:val="0"/>
        <w:numPr>
          <w:ilvl w:val="0"/>
          <w:numId w:val="16"/>
        </w:numPr>
        <w:ind w:left="720" w:right="140.0787401574808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dell’infanzia di San Pietro in Vincoli, Filetto e Osteria: martedì 17 dicembre 2024 dalle ore 17.00 alle ore 18.30 presso l’Aula Magna di San Pietro in Vincoli</w:t>
      </w:r>
    </w:p>
    <w:p w:rsidR="00000000" w:rsidDel="00000000" w:rsidP="00000000" w:rsidRDefault="00000000" w:rsidRPr="00000000" w14:paraId="00000155">
      <w:pPr>
        <w:widowControl w:val="0"/>
        <w:numPr>
          <w:ilvl w:val="0"/>
          <w:numId w:val="16"/>
        </w:numPr>
        <w:ind w:left="720" w:right="140.07874015748087"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Roncalceci e di San Zaccaria: lunedì 16 dicembre 2024 dalle ore 17.00 alle ore 18.00 presso i rispettivi plessi.</w:t>
      </w:r>
    </w:p>
    <w:p w:rsidR="00000000" w:rsidDel="00000000" w:rsidP="00000000" w:rsidRDefault="00000000" w:rsidRPr="00000000" w14:paraId="00000156">
      <w:pPr>
        <w:widowControl w:val="0"/>
        <w:numPr>
          <w:ilvl w:val="0"/>
          <w:numId w:val="16"/>
        </w:numPr>
        <w:ind w:left="720" w:right="140.0787401574808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San Pietro in Vincoli: martedì 17 dicembre 2024 dalle ore 18.30 alle ore 19.30 presso l’Aula Magna di San Pietro in Vincoli</w:t>
      </w:r>
    </w:p>
    <w:p w:rsidR="00000000" w:rsidDel="00000000" w:rsidP="00000000" w:rsidRDefault="00000000" w:rsidRPr="00000000" w14:paraId="00000157">
      <w:pPr>
        <w:widowControl w:val="0"/>
        <w:numPr>
          <w:ilvl w:val="0"/>
          <w:numId w:val="16"/>
        </w:numPr>
        <w:ind w:left="720" w:right="140.0787401574808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San Pietro in Campiano: mercoledì 18 dicembre 2024 dalle ore 18.00 alle ore 19.00 presso l’Aula Magna di San Pietro in Campiano</w:t>
      </w:r>
    </w:p>
    <w:p w:rsidR="00000000" w:rsidDel="00000000" w:rsidP="00000000" w:rsidRDefault="00000000" w:rsidRPr="00000000" w14:paraId="00000158">
      <w:pPr>
        <w:widowControl w:val="0"/>
        <w:numPr>
          <w:ilvl w:val="0"/>
          <w:numId w:val="16"/>
        </w:numPr>
        <w:ind w:left="720" w:right="140.0787401574808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secondaria di San Pietro in Vincoli: lunedì 16 dicembre 2024 dalle ore 18.00 alla ore 19.00 presso l’Aula Magna di San Pietro in Vincoli</w:t>
      </w:r>
    </w:p>
    <w:p w:rsidR="00000000" w:rsidDel="00000000" w:rsidP="00000000" w:rsidRDefault="00000000" w:rsidRPr="00000000" w14:paraId="00000159">
      <w:pPr>
        <w:widowControl w:val="0"/>
        <w:numPr>
          <w:ilvl w:val="0"/>
          <w:numId w:val="16"/>
        </w:numPr>
        <w:ind w:left="720" w:right="140.07874015748087"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secondaria di San Pietro in Campiano: mercoledì 18 dicembre 2024 dalle ore 17.00 alle ore 18.00 presso l’Aula Magna di San Pietro in Campiano</w:t>
      </w:r>
    </w:p>
    <w:p w:rsidR="00000000" w:rsidDel="00000000" w:rsidP="00000000" w:rsidRDefault="00000000" w:rsidRPr="00000000" w14:paraId="0000015A">
      <w:pPr>
        <w:widowControl w:val="0"/>
        <w:ind w:right="140.078740157480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secondo incontro degli open day (laboratori) avverrà nei rispettivi plessi e seguirà il seguente calendario:</w:t>
      </w:r>
    </w:p>
    <w:p w:rsidR="00000000" w:rsidDel="00000000" w:rsidP="00000000" w:rsidRDefault="00000000" w:rsidRPr="00000000" w14:paraId="0000015C">
      <w:pPr>
        <w:widowControl w:val="0"/>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dell’infanzia di San Pietro in Vincoli: giovedì 9 gennaio 2025 alle ore 17.30</w:t>
      </w:r>
    </w:p>
    <w:p w:rsidR="00000000" w:rsidDel="00000000" w:rsidP="00000000" w:rsidRDefault="00000000" w:rsidRPr="00000000" w14:paraId="0000015D">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dell’infanzia di Filetto: venerdì 10 gennaio 2025 alle ore 17.00</w:t>
      </w:r>
    </w:p>
    <w:p w:rsidR="00000000" w:rsidDel="00000000" w:rsidP="00000000" w:rsidRDefault="00000000" w:rsidRPr="00000000" w14:paraId="0000015E">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dell’infanzia di Osteria: lunedì 13 gennaio 2025 alle ore 17.00</w:t>
      </w:r>
    </w:p>
    <w:p w:rsidR="00000000" w:rsidDel="00000000" w:rsidP="00000000" w:rsidRDefault="00000000" w:rsidRPr="00000000" w14:paraId="0000015F">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Roncalceci: mercoledì 8 gennaio 2025 alle ore 17.30</w:t>
      </w:r>
    </w:p>
    <w:p w:rsidR="00000000" w:rsidDel="00000000" w:rsidP="00000000" w:rsidRDefault="00000000" w:rsidRPr="00000000" w14:paraId="00000160">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San Zaccaria: mercoledì 8 gennaio 2025 alle ore 17.30</w:t>
      </w:r>
    </w:p>
    <w:p w:rsidR="00000000" w:rsidDel="00000000" w:rsidP="00000000" w:rsidRDefault="00000000" w:rsidRPr="00000000" w14:paraId="00000161">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San Pietro in Vincoli: giovedì 16 gennaio 2025 alle ore 17.00</w:t>
      </w:r>
    </w:p>
    <w:p w:rsidR="00000000" w:rsidDel="00000000" w:rsidP="00000000" w:rsidRDefault="00000000" w:rsidRPr="00000000" w14:paraId="00000162">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primaria di San Pietro in Campiano: mercoledì 15 gennaio 2025 alle ore 17.00</w:t>
      </w:r>
    </w:p>
    <w:p w:rsidR="00000000" w:rsidDel="00000000" w:rsidP="00000000" w:rsidRDefault="00000000" w:rsidRPr="00000000" w14:paraId="00000163">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secondaria di San Pietro in Vincoli: venerdì 17 dicembre 2025 alle ore 17.00 </w:t>
      </w:r>
    </w:p>
    <w:p w:rsidR="00000000" w:rsidDel="00000000" w:rsidP="00000000" w:rsidRDefault="00000000" w:rsidRPr="00000000" w14:paraId="00000164">
      <w:pPr>
        <w:widowControl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Scuola secondaria di San Pietro in Campiano: martedì 14 gennaio 2025 alle ore 17.00</w:t>
      </w:r>
    </w:p>
    <w:p w:rsidR="00000000" w:rsidDel="00000000" w:rsidP="00000000" w:rsidRDefault="00000000" w:rsidRPr="00000000" w14:paraId="00000165">
      <w:pPr>
        <w:widowControl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Docente prende atto del calendario.</w:t>
      </w:r>
    </w:p>
    <w:p w:rsidR="00000000" w:rsidDel="00000000" w:rsidP="00000000" w:rsidRDefault="00000000" w:rsidRPr="00000000" w14:paraId="00000167">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widowControl w:val="0"/>
        <w:numPr>
          <w:ilvl w:val="0"/>
          <w:numId w:val="15"/>
        </w:numPr>
        <w:ind w:left="720" w:right="1063.1927490234375"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Condivisione Aggiornamento Protocollo per la gestione dei casi di Bullismo e Cyberbullismo </w:t>
      </w:r>
    </w:p>
    <w:p w:rsidR="00000000" w:rsidDel="00000000" w:rsidP="00000000" w:rsidRDefault="00000000" w:rsidRPr="00000000" w14:paraId="00000169">
      <w:pPr>
        <w:widowControl w:val="0"/>
        <w:ind w:left="0" w:right="140.0787401574808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 invita il referente d’Istituto del Bullismo e del Cyberbullismo a presentare l’aggiornamento del Protocollo per la gestione dei casi di Bullismo e Cyberbullismo (</w:t>
      </w:r>
      <w:r w:rsidDel="00000000" w:rsidR="00000000" w:rsidRPr="00000000">
        <w:rPr>
          <w:rFonts w:ascii="Times New Roman" w:cs="Times New Roman" w:eastAsia="Times New Roman" w:hAnsi="Times New Roman"/>
          <w:sz w:val="24"/>
          <w:szCs w:val="24"/>
          <w:highlight w:val="green"/>
          <w:rtl w:val="0"/>
        </w:rPr>
        <w:t xml:space="preserve">allegato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A">
      <w:pPr>
        <w:widowControl w:val="0"/>
        <w:ind w:left="0" w:right="1063.192749023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ind w:left="0" w:right="1063.192749023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L’aggiornamento del Protocollo per la gestione dei casi di Bullismo e Cyberbullismo sarà sottoposto a delibera al Consiglio di Istituto.</w:t>
      </w:r>
    </w:p>
    <w:p w:rsidR="00000000" w:rsidDel="00000000" w:rsidP="00000000" w:rsidRDefault="00000000" w:rsidRPr="00000000" w14:paraId="0000016C">
      <w:pPr>
        <w:widowControl w:val="0"/>
        <w:ind w:left="0" w:right="1063.192749023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widowControl w:val="0"/>
        <w:numPr>
          <w:ilvl w:val="0"/>
          <w:numId w:val="15"/>
        </w:numPr>
        <w:ind w:left="720" w:right="1063.1927490234375"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Adesione Progetto Prevenzione Disagio e Benessere a scuola </w:t>
      </w:r>
    </w:p>
    <w:p w:rsidR="00000000" w:rsidDel="00000000" w:rsidP="00000000" w:rsidRDefault="00000000" w:rsidRPr="00000000" w14:paraId="0000016E">
      <w:pPr>
        <w:widowControl w:val="0"/>
        <w:ind w:left="0" w:right="60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 presenta il progetto di Prevenzione del Disagio giovanile e del Benessere a scuola, pervenuto dalla scuola capofila Oriani di Ravenna.</w:t>
      </w:r>
    </w:p>
    <w:p w:rsidR="00000000" w:rsidDel="00000000" w:rsidP="00000000" w:rsidRDefault="00000000" w:rsidRPr="00000000" w14:paraId="0000016F">
      <w:pPr>
        <w:widowControl w:val="0"/>
        <w:ind w:left="0" w:right="60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previsti degli interventi di formazioni per i docenti, previsti nell’a.s. 2025-2026, e degli incontri con le famiglie, calendarizzati a partire da febbraio 2025.</w:t>
      </w:r>
    </w:p>
    <w:p w:rsidR="00000000" w:rsidDel="00000000" w:rsidP="00000000" w:rsidRDefault="00000000" w:rsidRPr="00000000" w14:paraId="00000170">
      <w:pPr>
        <w:widowControl w:val="0"/>
        <w:ind w:left="0" w:right="60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stato chiesto agli Istituti interessati di compilare il modulo dove esprimere l’intenzione di iscriversi.</w:t>
      </w:r>
    </w:p>
    <w:p w:rsidR="00000000" w:rsidDel="00000000" w:rsidP="00000000" w:rsidRDefault="00000000" w:rsidRPr="00000000" w14:paraId="00000171">
      <w:pPr>
        <w:widowControl w:val="0"/>
        <w:ind w:left="0" w:right="602.421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ind w:left="0" w:right="602.4218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 n. 29</w:t>
      </w:r>
    </w:p>
    <w:p w:rsidR="00000000" w:rsidDel="00000000" w:rsidP="00000000" w:rsidRDefault="00000000" w:rsidRPr="00000000" w14:paraId="00000173">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Docenti approva all’unanimità l’adesione al “Progetto Prevenzione Disagio e Benessere a scuola”.</w:t>
      </w:r>
    </w:p>
    <w:p w:rsidR="00000000" w:rsidDel="00000000" w:rsidP="00000000" w:rsidRDefault="00000000" w:rsidRPr="00000000" w14:paraId="00000174">
      <w:pPr>
        <w:spacing w:line="276" w:lineRule="auto"/>
        <w:ind w:left="0"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widowControl w:val="0"/>
        <w:numPr>
          <w:ilvl w:val="0"/>
          <w:numId w:val="15"/>
        </w:numPr>
        <w:ind w:left="720" w:right="602.421875"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Decreto del Ministero dell’istruzione e del merito 27 maggio 2024, n. 102 - c.c. “Agenda NORD -  Calendarizzazione dei percorsi </w:t>
      </w:r>
    </w:p>
    <w:p w:rsidR="00000000" w:rsidDel="00000000" w:rsidP="00000000" w:rsidRDefault="00000000" w:rsidRPr="00000000" w14:paraId="00000176">
      <w:pPr>
        <w:widowControl w:val="0"/>
        <w:ind w:left="0" w:right="602.421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Scolastica invita il collaboratore Guidetti Martina a presentare la calendarizzazione dei percorsi dell’ “Agenda NORD”.</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2024-2025</w:t>
      </w:r>
    </w:p>
    <w:tbl>
      <w:tblPr>
        <w:tblStyle w:val="Table7"/>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2895"/>
        <w:gridCol w:w="1785"/>
        <w:gridCol w:w="3105"/>
        <w:tblGridChange w:id="0">
          <w:tblGrid>
            <w:gridCol w:w="2985"/>
            <w:gridCol w:w="2895"/>
            <w:gridCol w:w="1785"/>
            <w:gridCol w:w="3105"/>
          </w:tblGrid>
        </w:tblGridChange>
      </w:tblGrid>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PROPOSTA PERIODO</w:t>
            </w:r>
          </w:p>
        </w:tc>
      </w:tr>
      <w:tr>
        <w:trPr>
          <w:cantSplit w:val="0"/>
          <w:trHeight w:val="70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Giochiamo con le parole (lingua madre)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08-01-2025 / 30-08-2025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tempo pieno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sabato mattina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Giochiamo con le parole (lingua madre)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08-01-2025 / 30-08-2025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 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lunedì o mercoledì o venerdì pomeriggio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Giochiamo con i numeri (matematica</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08-01-2025 / 30-08-2025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tempo pieno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sabato mattina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Giochiamo con i numeri (matematica)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08-01-2025 / 30-08-2025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p w:rsidR="00000000" w:rsidDel="00000000" w:rsidP="00000000" w:rsidRDefault="00000000" w:rsidRPr="00000000" w14:paraId="000001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 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lunedì o mercoledì o venerdì pomeriggio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Sviluppo del pensiero computazionale e della creatività 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10-02-2025 / 30-08-2025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giugno</w:t>
            </w:r>
          </w:p>
        </w:tc>
      </w:tr>
    </w:tbl>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2025/2026</w:t>
      </w:r>
    </w:p>
    <w:tbl>
      <w:tblPr>
        <w:tblStyle w:val="Table8"/>
        <w:tblW w:w="10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95"/>
        <w:gridCol w:w="1860"/>
        <w:gridCol w:w="3060"/>
        <w:tblGridChange w:id="0">
          <w:tblGrid>
            <w:gridCol w:w="2925"/>
            <w:gridCol w:w="2895"/>
            <w:gridCol w:w="1860"/>
            <w:gridCol w:w="3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Giochiamo con le parole (lingua madre)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08-01-2026 / 29-08-2026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Giochiamo con i numeri (matematica)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08-01-2026 / 29-08-2026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Let’s play (lingua 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08-01-2026 / 29-08-2026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p w:rsidR="00000000" w:rsidDel="00000000" w:rsidP="00000000" w:rsidRDefault="00000000" w:rsidRPr="00000000" w14:paraId="000001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tempo pieno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sabato mattina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Let’s play (lingua 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08-01-2026 / 29-08-2026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p w:rsidR="00000000" w:rsidDel="00000000" w:rsidP="00000000" w:rsidRDefault="00000000" w:rsidRPr="00000000" w14:paraId="000001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 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lunedì o mercoledì o venerdì pomeriggio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Sviluppo del pensiero computazionale e della creatività digitale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09-02-2026 / 31-08-2025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widowControl w:val="0"/>
        <w:ind w:right="602.421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 n. 30</w:t>
      </w:r>
    </w:p>
    <w:p w:rsidR="00000000" w:rsidDel="00000000" w:rsidP="00000000" w:rsidRDefault="00000000" w:rsidRPr="00000000" w14:paraId="000001AE">
      <w:pPr>
        <w:spacing w:line="276" w:lineRule="auto"/>
        <w:ind w:right="42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Docenti approva all’unanimità la calendarizzazione dei percorsi dell’ “Agenda NORD”.</w:t>
      </w:r>
    </w:p>
    <w:p w:rsidR="00000000" w:rsidDel="00000000" w:rsidP="00000000" w:rsidRDefault="00000000" w:rsidRPr="00000000" w14:paraId="000001AF">
      <w:pPr>
        <w:spacing w:line="276" w:lineRule="auto"/>
        <w:ind w:right="42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Integrazione al Piano delle attività funzionali all’insegnamento </w:t>
      </w:r>
    </w:p>
    <w:p w:rsidR="00000000" w:rsidDel="00000000" w:rsidP="00000000" w:rsidRDefault="00000000" w:rsidRPr="00000000" w14:paraId="000001B1">
      <w:pPr>
        <w:widowControl w:val="0"/>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Si è reso necessario modificare il Piano delle attività funzionali all'insegnamento in quanto, </w:t>
      </w:r>
      <w:r w:rsidDel="00000000" w:rsidR="00000000" w:rsidRPr="00000000">
        <w:rPr>
          <w:rFonts w:ascii="Times New Roman" w:cs="Times New Roman" w:eastAsia="Times New Roman" w:hAnsi="Times New Roman"/>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on nota n. 46684 del 20 novembre 2024, il Ministero ha trasmesso il decreto 14 novembre 2024, n. 229 di adozione del modello nazionale di consiglio di orientamento. </w:t>
      </w:r>
    </w:p>
    <w:p w:rsidR="00000000" w:rsidDel="00000000" w:rsidP="00000000" w:rsidRDefault="00000000" w:rsidRPr="00000000" w14:paraId="000001B2">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propone di effettuare i Consigli di Classi terze della scuola secondaria di I grado </w:t>
      </w:r>
      <w:r w:rsidDel="00000000" w:rsidR="00000000" w:rsidRPr="00000000">
        <w:rPr>
          <w:rFonts w:ascii="Times New Roman" w:cs="Times New Roman" w:eastAsia="Times New Roman" w:hAnsi="Times New Roman"/>
          <w:sz w:val="24"/>
          <w:szCs w:val="24"/>
          <w:rtl w:val="0"/>
        </w:rPr>
        <w:t xml:space="preserve">martedì 17 dicembre 2024</w:t>
      </w:r>
      <w:r w:rsidDel="00000000" w:rsidR="00000000" w:rsidRPr="00000000">
        <w:rPr>
          <w:rFonts w:ascii="Times New Roman" w:cs="Times New Roman" w:eastAsia="Times New Roman" w:hAnsi="Times New Roman"/>
          <w:sz w:val="24"/>
          <w:szCs w:val="24"/>
          <w:rtl w:val="0"/>
        </w:rPr>
        <w:t xml:space="preserve">. Seguirà circolare con gli orari.</w:t>
      </w:r>
      <w:r w:rsidDel="00000000" w:rsidR="00000000" w:rsidRPr="00000000">
        <w:rPr>
          <w:rtl w:val="0"/>
        </w:rPr>
      </w:r>
    </w:p>
    <w:p w:rsidR="00000000" w:rsidDel="00000000" w:rsidP="00000000" w:rsidRDefault="00000000" w:rsidRPr="00000000" w14:paraId="000001B3">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widowControl w:val="0"/>
        <w:ind w:right="602.421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 n. 31</w:t>
      </w:r>
    </w:p>
    <w:p w:rsidR="00000000" w:rsidDel="00000000" w:rsidP="00000000" w:rsidRDefault="00000000" w:rsidRPr="00000000" w14:paraId="000001B5">
      <w:pPr>
        <w:spacing w:line="276" w:lineRule="auto"/>
        <w:ind w:right="42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Collegio Docenti approva all’unanimità l'integrazione al Piano delle attività funzionali all’insegnamento.</w:t>
      </w:r>
    </w:p>
    <w:p w:rsidR="00000000" w:rsidDel="00000000" w:rsidP="00000000" w:rsidRDefault="00000000" w:rsidRPr="00000000" w14:paraId="000001B6">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Aggiornamento Regolamento d’Istituto  </w:t>
      </w:r>
    </w:p>
    <w:p w:rsidR="00000000" w:rsidDel="00000000" w:rsidP="00000000" w:rsidRDefault="00000000" w:rsidRPr="00000000" w14:paraId="000001B8">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stato necessario aggiornare l’attività negoziale e i codice degli appalti all’interno del Regolamento d’Istituto. Dovrà essere aggiornato anche con i criteri di formazione sezioni/classi.</w:t>
      </w:r>
    </w:p>
    <w:p w:rsidR="00000000" w:rsidDel="00000000" w:rsidP="00000000" w:rsidRDefault="00000000" w:rsidRPr="00000000" w14:paraId="000001B9">
      <w:pPr>
        <w:widowControl w:val="0"/>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widowControl w:val="0"/>
        <w:numPr>
          <w:ilvl w:val="0"/>
          <w:numId w:val="15"/>
        </w:numPr>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Comunicazioni del DS  </w:t>
      </w:r>
    </w:p>
    <w:p w:rsidR="00000000" w:rsidDel="00000000" w:rsidP="00000000" w:rsidRDefault="00000000" w:rsidRPr="00000000" w14:paraId="000001BB">
      <w:pPr>
        <w:widowControl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 invita il collaboratore Guidetti Martina a presentare il percorso di formazione “</w:t>
      </w:r>
      <w:r w:rsidDel="00000000" w:rsidR="00000000" w:rsidRPr="00000000">
        <w:rPr>
          <w:rFonts w:ascii="Times New Roman" w:cs="Times New Roman" w:eastAsia="Times New Roman" w:hAnsi="Times New Roman"/>
          <w:sz w:val="24"/>
          <w:szCs w:val="24"/>
          <w:rtl w:val="0"/>
        </w:rPr>
        <w:t xml:space="preserve">DBT STEPS-A (Skills Training for Emotional Problem Solving per adolescenti) - Un approccio proattivo al benessere mentale”.</w:t>
      </w:r>
    </w:p>
    <w:p w:rsidR="00000000" w:rsidDel="00000000" w:rsidP="00000000" w:rsidRDefault="00000000" w:rsidRPr="00000000" w14:paraId="000001B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DESCRIZIONE</w:t>
      </w:r>
    </w:p>
    <w:p w:rsidR="00000000" w:rsidDel="00000000" w:rsidP="00000000" w:rsidRDefault="00000000" w:rsidRPr="00000000" w14:paraId="000001B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DBT STEPS-A, si pone l’obiettivo di fornire agli studenti abilità socio-emotive che possano promuovere il benessere psicologico, la resilienza emotiva e abilità attraverso cui affrontare in modo adeguato le sfide quotidiane caratteristiche del periodo adolescenziale.</w:t>
      </w:r>
    </w:p>
    <w:p w:rsidR="00000000" w:rsidDel="00000000" w:rsidP="00000000" w:rsidRDefault="00000000" w:rsidRPr="00000000" w14:paraId="000001B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merito, la DBT STEPS-A non costituisce un programma di intervento, piuttosto rappresenta un curriculum universale che si pone l’obiettivo di “aiutare i giovani a sviluppare strategie efficaci per regolare le emozioni, risolvere problemi, migliorare le relazioni e migliorare la propria vita” (Mazza et al., 2016).</w:t>
      </w:r>
    </w:p>
    <w:p w:rsidR="00000000" w:rsidDel="00000000" w:rsidP="00000000" w:rsidRDefault="00000000" w:rsidRPr="00000000" w14:paraId="000001C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DESTINATARI</w:t>
      </w:r>
    </w:p>
    <w:p w:rsidR="00000000" w:rsidDel="00000000" w:rsidP="00000000" w:rsidRDefault="00000000" w:rsidRPr="00000000" w14:paraId="000001C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DBT STEPS-A, si rivolge alle scuole secondarie di primo e di secondo grado</w:t>
      </w:r>
    </w:p>
    <w:p w:rsidR="00000000" w:rsidDel="00000000" w:rsidP="00000000" w:rsidRDefault="00000000" w:rsidRPr="00000000" w14:paraId="000001C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OBIETTIVI</w:t>
      </w:r>
    </w:p>
    <w:p w:rsidR="00000000" w:rsidDel="00000000" w:rsidP="00000000" w:rsidRDefault="00000000" w:rsidRPr="00000000" w14:paraId="000001C5">
      <w:pPr>
        <w:widowControl w:val="0"/>
        <w:numPr>
          <w:ilvl w:val="0"/>
          <w:numId w:val="1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Sviluppare capacità di apprendimento socio emotivo</w:t>
      </w:r>
    </w:p>
    <w:p w:rsidR="00000000" w:rsidDel="00000000" w:rsidP="00000000" w:rsidRDefault="00000000" w:rsidRPr="00000000" w14:paraId="000001C6">
      <w:pPr>
        <w:widowControl w:val="0"/>
        <w:numPr>
          <w:ilvl w:val="0"/>
          <w:numId w:val="1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Affrontare i fattori di rischio e di protezione all’interno del contesto scolastico</w:t>
      </w:r>
    </w:p>
    <w:p w:rsidR="00000000" w:rsidDel="00000000" w:rsidP="00000000" w:rsidRDefault="00000000" w:rsidRPr="00000000" w14:paraId="000001C7">
      <w:pPr>
        <w:widowControl w:val="0"/>
        <w:numPr>
          <w:ilvl w:val="0"/>
          <w:numId w:val="1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Implementare abilità di gestione delle crisi</w:t>
      </w:r>
      <w:r w:rsidDel="00000000" w:rsidR="00000000" w:rsidRPr="00000000">
        <w:rPr>
          <w:rtl w:val="0"/>
        </w:rPr>
      </w:r>
    </w:p>
    <w:p w:rsidR="00000000" w:rsidDel="00000000" w:rsidP="00000000" w:rsidRDefault="00000000" w:rsidRPr="00000000" w14:paraId="000001C8">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FASI DEL PROGETTO</w:t>
      </w:r>
    </w:p>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sz w:val="24"/>
          <w:szCs w:val="24"/>
          <w:u w:val="single"/>
          <w:rtl w:val="0"/>
        </w:rPr>
        <w:t xml:space="preserve">prima fase</w:t>
      </w:r>
      <w:r w:rsidDel="00000000" w:rsidR="00000000" w:rsidRPr="00000000">
        <w:rPr>
          <w:rFonts w:ascii="Times New Roman" w:cs="Times New Roman" w:eastAsia="Times New Roman" w:hAnsi="Times New Roman"/>
          <w:sz w:val="24"/>
          <w:szCs w:val="24"/>
          <w:rtl w:val="0"/>
        </w:rPr>
        <w:t xml:space="preserve"> prevede una formazione rivolta al personale scolastico (docenti, educatori, psicologi scolastici) che avverrà fra febbraio e aprile 2025, con 6 incontri di 3 ore ciascuno finalizzati all’acquisizione della metodologia DBT STEPS-A.</w:t>
      </w:r>
    </w:p>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sz w:val="24"/>
          <w:szCs w:val="24"/>
          <w:u w:val="single"/>
          <w:rtl w:val="0"/>
        </w:rPr>
        <w:t xml:space="preserve">seconda fase</w:t>
      </w:r>
      <w:r w:rsidDel="00000000" w:rsidR="00000000" w:rsidRPr="00000000">
        <w:rPr>
          <w:rFonts w:ascii="Times New Roman" w:cs="Times New Roman" w:eastAsia="Times New Roman" w:hAnsi="Times New Roman"/>
          <w:sz w:val="24"/>
          <w:szCs w:val="24"/>
          <w:rtl w:val="0"/>
        </w:rPr>
        <w:t xml:space="preserve"> prevede l’implementazione del modello all’interno dei curricula scolastici nell’a.s. 2025/2026 da parte del personale scolastico ed una supervisione da parte dello psicologo formatore.</w:t>
      </w:r>
    </w:p>
    <w:p w:rsidR="00000000" w:rsidDel="00000000" w:rsidP="00000000" w:rsidRDefault="00000000" w:rsidRPr="00000000" w14:paraId="000001C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sz w:val="24"/>
          <w:szCs w:val="24"/>
          <w:u w:val="single"/>
          <w:rtl w:val="0"/>
        </w:rPr>
        <w:t xml:space="preserve">terza fase</w:t>
      </w:r>
      <w:r w:rsidDel="00000000" w:rsidR="00000000" w:rsidRPr="00000000">
        <w:rPr>
          <w:rFonts w:ascii="Times New Roman" w:cs="Times New Roman" w:eastAsia="Times New Roman" w:hAnsi="Times New Roman"/>
          <w:sz w:val="24"/>
          <w:szCs w:val="24"/>
          <w:rtl w:val="0"/>
        </w:rPr>
        <w:t xml:space="preserve"> prevede una valutazione di processo (sull’implementazione del modello) e d’esito (con la somministrazione di test prima e dopo l’intervento con gruppo di controllo).</w:t>
      </w:r>
    </w:p>
    <w:p w:rsidR="00000000" w:rsidDel="00000000" w:rsidP="00000000" w:rsidRDefault="00000000" w:rsidRPr="00000000" w14:paraId="000001C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CALENDARIO</w:t>
      </w:r>
    </w:p>
    <w:p w:rsidR="00000000" w:rsidDel="00000000" w:rsidP="00000000" w:rsidRDefault="00000000" w:rsidRPr="00000000" w14:paraId="000001D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Giovedì o6/13/20/27 febbraio, 06/13 marzo dalle ore 16.00 alle ore 19.00</w:t>
      </w:r>
    </w:p>
    <w:p w:rsidR="00000000" w:rsidDel="00000000" w:rsidP="00000000" w:rsidRDefault="00000000" w:rsidRPr="00000000" w14:paraId="000001D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Sede del Corso CSM, Ponte Nuovo Ravenna</w:t>
      </w:r>
    </w:p>
    <w:p w:rsidR="00000000" w:rsidDel="00000000" w:rsidP="00000000" w:rsidRDefault="00000000" w:rsidRPr="00000000" w14:paraId="000001D4">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276" w:lineRule="auto"/>
        <w:ind w:left="0" w:right="4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Esauriti gli argomenti all’ordine del giorno, il Dirigente ringrazia per l’attenzione e dichiara conclusa la seduta alle ore  19.00.</w:t>
      </w:r>
    </w:p>
    <w:p w:rsidR="00000000" w:rsidDel="00000000" w:rsidP="00000000" w:rsidRDefault="00000000" w:rsidRPr="00000000" w14:paraId="000001D6">
      <w:pPr>
        <w:spacing w:line="276" w:lineRule="auto"/>
        <w:ind w:left="425" w:right="42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line="276" w:lineRule="auto"/>
        <w:ind w:left="496" w:right="4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segretario</w:t>
        <w:tab/>
        <w:t xml:space="preserve">  </w:t>
        <w:tab/>
        <w:tab/>
        <w:tab/>
        <w:tab/>
        <w:t xml:space="preserve">     </w:t>
        <w:tab/>
        <w:t xml:space="preserve">    Il Dirigente Scolastico</w:t>
      </w:r>
    </w:p>
    <w:p w:rsidR="00000000" w:rsidDel="00000000" w:rsidP="00000000" w:rsidRDefault="00000000" w:rsidRPr="00000000" w14:paraId="000001D8">
      <w:pPr>
        <w:spacing w:line="276" w:lineRule="auto"/>
        <w:ind w:left="496" w:right="423"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Martina Guidetti</w:t>
        <w:tab/>
        <w:tab/>
        <w:tab/>
        <w:tab/>
        <w:tab/>
        <w:tab/>
        <w:t xml:space="preserve">    Prof.ssa Pierangela Izzi</w:t>
      </w:r>
      <w:r w:rsidDel="00000000" w:rsidR="00000000" w:rsidRPr="00000000">
        <w:rPr>
          <w:rtl w:val="0"/>
        </w:rPr>
      </w:r>
    </w:p>
    <w:p w:rsidR="00000000" w:rsidDel="00000000" w:rsidP="00000000" w:rsidRDefault="00000000" w:rsidRPr="00000000" w14:paraId="000001D9">
      <w:pPr>
        <w:spacing w:line="276" w:lineRule="auto"/>
        <w:ind w:right="423"/>
        <w:rPr/>
      </w:pPr>
      <w:r w:rsidDel="00000000" w:rsidR="00000000" w:rsidRPr="00000000">
        <w:rPr>
          <w:rtl w:val="0"/>
        </w:rPr>
      </w:r>
    </w:p>
    <w:p w:rsidR="00000000" w:rsidDel="00000000" w:rsidP="00000000" w:rsidRDefault="00000000" w:rsidRPr="00000000" w14:paraId="000001DA">
      <w:pPr>
        <w:widowControl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widowControl w:val="0"/>
        <w:ind w:lef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widowControl w:val="0"/>
      <w:spacing w:after="0" w:line="240" w:lineRule="auto"/>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